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4BF5A6" w14:textId="77777777" w:rsidR="00E53B21" w:rsidRPr="00E53B21" w:rsidRDefault="00E53B21" w:rsidP="00E53B21">
      <w:pPr>
        <w:jc w:val="right"/>
        <w:rPr>
          <w:rFonts w:ascii="Times New Roman" w:hAnsi="Times New Roman" w:cs="Times New Roman"/>
        </w:rPr>
      </w:pPr>
    </w:p>
    <w:p w14:paraId="48E31FE8" w14:textId="77777777" w:rsidR="00E53B21" w:rsidRPr="00E53B21" w:rsidRDefault="00E53B21" w:rsidP="00E53B21">
      <w:pPr>
        <w:jc w:val="right"/>
        <w:rPr>
          <w:rFonts w:ascii="Times New Roman" w:hAnsi="Times New Roman" w:cs="Times New Roman"/>
        </w:rPr>
      </w:pPr>
      <w:r w:rsidRPr="00E53B21">
        <w:rPr>
          <w:rFonts w:ascii="Times New Roman" w:hAnsi="Times New Roman" w:cs="Times New Roman"/>
        </w:rPr>
        <w:t>Rennes, le 20 février 2020</w:t>
      </w:r>
    </w:p>
    <w:p w14:paraId="006E07F0" w14:textId="77777777" w:rsidR="0004085D" w:rsidRPr="00E53B21" w:rsidRDefault="0004085D" w:rsidP="0004085D">
      <w:pPr>
        <w:pBdr>
          <w:top w:val="single" w:sz="4" w:space="1" w:color="auto"/>
          <w:left w:val="single" w:sz="4" w:space="4" w:color="auto"/>
          <w:bottom w:val="single" w:sz="4" w:space="1" w:color="auto"/>
          <w:right w:val="single" w:sz="4" w:space="4" w:color="auto"/>
        </w:pBdr>
        <w:jc w:val="center"/>
        <w:rPr>
          <w:rStyle w:val="lev"/>
          <w:rFonts w:ascii="Times New Roman" w:hAnsi="Times New Roman" w:cs="Times New Roman"/>
        </w:rPr>
      </w:pPr>
      <w:r w:rsidRPr="00E53B21">
        <w:rPr>
          <w:rStyle w:val="lev"/>
          <w:rFonts w:ascii="Times New Roman" w:hAnsi="Times New Roman" w:cs="Times New Roman"/>
        </w:rPr>
        <w:t>Note de présentation</w:t>
      </w:r>
    </w:p>
    <w:p w14:paraId="183322A2" w14:textId="2BABD3D4" w:rsidR="0004085D" w:rsidRPr="00E53B21" w:rsidRDefault="0004085D" w:rsidP="0004085D">
      <w:pPr>
        <w:pBdr>
          <w:top w:val="single" w:sz="4" w:space="1" w:color="auto"/>
          <w:left w:val="single" w:sz="4" w:space="4" w:color="auto"/>
          <w:bottom w:val="single" w:sz="4" w:space="1" w:color="auto"/>
          <w:right w:val="single" w:sz="4" w:space="4" w:color="auto"/>
        </w:pBdr>
        <w:jc w:val="center"/>
        <w:rPr>
          <w:rStyle w:val="lev"/>
          <w:rFonts w:ascii="Times New Roman" w:hAnsi="Times New Roman" w:cs="Times New Roman"/>
        </w:rPr>
      </w:pPr>
      <w:r w:rsidRPr="00E53B21">
        <w:rPr>
          <w:rStyle w:val="lev"/>
          <w:rFonts w:ascii="Times New Roman" w:hAnsi="Times New Roman" w:cs="Times New Roman"/>
        </w:rPr>
        <w:t xml:space="preserve">Projet de </w:t>
      </w:r>
      <w:r w:rsidR="00A84844" w:rsidRPr="00E53B21">
        <w:rPr>
          <w:rStyle w:val="lev"/>
          <w:rFonts w:ascii="Times New Roman" w:hAnsi="Times New Roman" w:cs="Times New Roman"/>
        </w:rPr>
        <w:t>modification</w:t>
      </w:r>
      <w:r w:rsidR="00B61839" w:rsidRPr="00E53B21">
        <w:rPr>
          <w:rStyle w:val="lev"/>
          <w:rFonts w:ascii="Times New Roman" w:hAnsi="Times New Roman" w:cs="Times New Roman"/>
        </w:rPr>
        <w:t xml:space="preserve"> au projet d'arrêté portant approbation </w:t>
      </w:r>
      <w:r w:rsidR="00A84844" w:rsidRPr="00E53B21">
        <w:rPr>
          <w:rStyle w:val="lev"/>
          <w:rFonts w:ascii="Times New Roman" w:hAnsi="Times New Roman" w:cs="Times New Roman"/>
        </w:rPr>
        <w:t xml:space="preserve">de la </w:t>
      </w:r>
      <w:r w:rsidRPr="00E53B21">
        <w:rPr>
          <w:rStyle w:val="lev"/>
          <w:rFonts w:ascii="Times New Roman" w:hAnsi="Times New Roman" w:cs="Times New Roman"/>
        </w:rPr>
        <w:t xml:space="preserve">délibération du </w:t>
      </w:r>
      <w:r w:rsidR="009265F0" w:rsidRPr="00E53B21">
        <w:rPr>
          <w:rStyle w:val="lev"/>
          <w:rFonts w:ascii="Times New Roman" w:hAnsi="Times New Roman" w:cs="Times New Roman"/>
        </w:rPr>
        <w:t>Comité régional des pêche maritime et élevages marins</w:t>
      </w:r>
      <w:r w:rsidR="00B61839" w:rsidRPr="00E53B21">
        <w:rPr>
          <w:rStyle w:val="lev"/>
          <w:rFonts w:ascii="Times New Roman" w:hAnsi="Times New Roman" w:cs="Times New Roman"/>
        </w:rPr>
        <w:t xml:space="preserve"> </w:t>
      </w:r>
      <w:r w:rsidR="00195348" w:rsidRPr="00E53B21">
        <w:rPr>
          <w:rStyle w:val="lev"/>
          <w:rFonts w:ascii="Times New Roman" w:hAnsi="Times New Roman" w:cs="Times New Roman"/>
        </w:rPr>
        <w:t xml:space="preserve">fixant </w:t>
      </w:r>
      <w:r w:rsidR="004826E3" w:rsidRPr="00E53B21">
        <w:rPr>
          <w:rStyle w:val="lev"/>
          <w:rFonts w:ascii="Times New Roman" w:hAnsi="Times New Roman" w:cs="Times New Roman"/>
        </w:rPr>
        <w:t xml:space="preserve">les </w:t>
      </w:r>
      <w:r w:rsidR="00195348" w:rsidRPr="00E53B21">
        <w:rPr>
          <w:rStyle w:val="lev"/>
          <w:rFonts w:ascii="Times New Roman" w:hAnsi="Times New Roman" w:cs="Times New Roman"/>
        </w:rPr>
        <w:t xml:space="preserve">conditions d’attribution de la licence de pêche des </w:t>
      </w:r>
      <w:r w:rsidR="004826E3" w:rsidRPr="00E53B21">
        <w:rPr>
          <w:rStyle w:val="lev"/>
          <w:rFonts w:ascii="Times New Roman" w:hAnsi="Times New Roman" w:cs="Times New Roman"/>
        </w:rPr>
        <w:t>crustacés dans les eaux territoriales situées au large de la région Bretagne</w:t>
      </w:r>
    </w:p>
    <w:p w14:paraId="7CC46D47" w14:textId="66031C49" w:rsidR="00A84844" w:rsidRPr="00E53B21" w:rsidRDefault="00A84844" w:rsidP="0004085D">
      <w:pPr>
        <w:pBdr>
          <w:top w:val="single" w:sz="4" w:space="1" w:color="auto"/>
          <w:left w:val="single" w:sz="4" w:space="4" w:color="auto"/>
          <w:bottom w:val="single" w:sz="4" w:space="1" w:color="auto"/>
          <w:right w:val="single" w:sz="4" w:space="4" w:color="auto"/>
        </w:pBdr>
        <w:jc w:val="center"/>
        <w:rPr>
          <w:rStyle w:val="lev"/>
          <w:rFonts w:ascii="Times New Roman" w:hAnsi="Times New Roman" w:cs="Times New Roman"/>
        </w:rPr>
      </w:pPr>
      <w:r w:rsidRPr="00E53B21">
        <w:rPr>
          <w:rStyle w:val="lev"/>
          <w:rFonts w:ascii="Times New Roman" w:hAnsi="Times New Roman" w:cs="Times New Roman"/>
        </w:rPr>
        <w:t xml:space="preserve"> DELIBERATION </w:t>
      </w:r>
      <w:r w:rsidR="00E445A5" w:rsidRPr="00E53B21">
        <w:rPr>
          <w:rStyle w:val="lev"/>
          <w:rFonts w:ascii="Times New Roman" w:hAnsi="Times New Roman" w:cs="Times New Roman"/>
        </w:rPr>
        <w:t xml:space="preserve">« </w:t>
      </w:r>
      <w:r w:rsidR="004826E3" w:rsidRPr="00E53B21">
        <w:rPr>
          <w:rStyle w:val="lev"/>
          <w:rFonts w:ascii="Times New Roman" w:hAnsi="Times New Roman" w:cs="Times New Roman"/>
        </w:rPr>
        <w:t>CRUS</w:t>
      </w:r>
      <w:r w:rsidR="0035379A" w:rsidRPr="00E53B21">
        <w:rPr>
          <w:rStyle w:val="lev"/>
          <w:rFonts w:ascii="Times New Roman" w:hAnsi="Times New Roman" w:cs="Times New Roman"/>
        </w:rPr>
        <w:t>TACES</w:t>
      </w:r>
      <w:r w:rsidR="004826E3" w:rsidRPr="00E53B21">
        <w:rPr>
          <w:rStyle w:val="lev"/>
          <w:rFonts w:ascii="Times New Roman" w:hAnsi="Times New Roman" w:cs="Times New Roman"/>
        </w:rPr>
        <w:t xml:space="preserve"> A</w:t>
      </w:r>
      <w:r w:rsidR="00195348" w:rsidRPr="00E53B21">
        <w:rPr>
          <w:rStyle w:val="lev"/>
          <w:rFonts w:ascii="Times New Roman" w:hAnsi="Times New Roman" w:cs="Times New Roman"/>
        </w:rPr>
        <w:t xml:space="preserve"> </w:t>
      </w:r>
      <w:r w:rsidRPr="00E53B21">
        <w:rPr>
          <w:rStyle w:val="lev"/>
          <w:rFonts w:ascii="Times New Roman" w:hAnsi="Times New Roman" w:cs="Times New Roman"/>
        </w:rPr>
        <w:t>»</w:t>
      </w:r>
    </w:p>
    <w:p w14:paraId="16A12CA0" w14:textId="77777777" w:rsidR="00B675E4" w:rsidRPr="00E53B21" w:rsidRDefault="00F50A21" w:rsidP="00A84844">
      <w:pPr>
        <w:spacing w:before="60"/>
        <w:jc w:val="both"/>
        <w:rPr>
          <w:rStyle w:val="lev"/>
          <w:rFonts w:ascii="Times New Roman" w:hAnsi="Times New Roman" w:cs="Times New Roman"/>
        </w:rPr>
      </w:pPr>
      <w:r w:rsidRPr="00E53B21">
        <w:rPr>
          <w:rStyle w:val="lev"/>
          <w:rFonts w:ascii="Times New Roman" w:hAnsi="Times New Roman" w:cs="Times New Roman"/>
          <w:u w:val="single"/>
        </w:rPr>
        <w:t>PREAMBULE :</w:t>
      </w:r>
      <w:r w:rsidRPr="00E53B21">
        <w:rPr>
          <w:rStyle w:val="lev"/>
          <w:rFonts w:ascii="Times New Roman" w:hAnsi="Times New Roman" w:cs="Times New Roman"/>
        </w:rPr>
        <w:t xml:space="preserve"> </w:t>
      </w:r>
    </w:p>
    <w:p w14:paraId="2468A2AB" w14:textId="2443387E" w:rsidR="00EC5852" w:rsidRPr="00E53B21" w:rsidRDefault="002D0E98" w:rsidP="00EC5852">
      <w:pPr>
        <w:jc w:val="both"/>
        <w:rPr>
          <w:rFonts w:ascii="Times New Roman" w:hAnsi="Times New Roman" w:cs="Times New Roman"/>
          <w:b/>
        </w:rPr>
      </w:pPr>
      <w:r w:rsidRPr="00E53B21">
        <w:rPr>
          <w:rStyle w:val="lev"/>
          <w:rFonts w:ascii="Times New Roman" w:hAnsi="Times New Roman" w:cs="Times New Roman"/>
          <w:b w:val="0"/>
        </w:rPr>
        <w:t>Les modifications, dans le cadr</w:t>
      </w:r>
      <w:r w:rsidR="009663F5">
        <w:rPr>
          <w:rStyle w:val="lev"/>
          <w:rFonts w:ascii="Times New Roman" w:hAnsi="Times New Roman" w:cs="Times New Roman"/>
          <w:b w:val="0"/>
        </w:rPr>
        <w:t>e du projet de délibération du comité régional des pêches maritimes et élevages m</w:t>
      </w:r>
      <w:r w:rsidRPr="00E53B21">
        <w:rPr>
          <w:rStyle w:val="lev"/>
          <w:rFonts w:ascii="Times New Roman" w:hAnsi="Times New Roman" w:cs="Times New Roman"/>
          <w:b w:val="0"/>
        </w:rPr>
        <w:t xml:space="preserve">arins </w:t>
      </w:r>
      <w:r w:rsidR="009663F5">
        <w:rPr>
          <w:rStyle w:val="lev"/>
          <w:rFonts w:ascii="Times New Roman" w:hAnsi="Times New Roman" w:cs="Times New Roman"/>
          <w:b w:val="0"/>
        </w:rPr>
        <w:t xml:space="preserve">(CRPMEM) </w:t>
      </w:r>
      <w:r w:rsidRPr="00E53B21">
        <w:rPr>
          <w:rStyle w:val="lev"/>
          <w:rFonts w:ascii="Times New Roman" w:hAnsi="Times New Roman" w:cs="Times New Roman"/>
          <w:b w:val="0"/>
        </w:rPr>
        <w:t xml:space="preserve">de Bretagne approuvée par le présent projet d’arrêté, </w:t>
      </w:r>
      <w:r w:rsidR="00A84844" w:rsidRPr="00E53B21">
        <w:rPr>
          <w:rStyle w:val="lev"/>
          <w:rFonts w:ascii="Times New Roman" w:hAnsi="Times New Roman" w:cs="Times New Roman"/>
          <w:b w:val="0"/>
        </w:rPr>
        <w:t xml:space="preserve">sont apportées </w:t>
      </w:r>
      <w:r w:rsidR="00EC5852" w:rsidRPr="00E53B21">
        <w:rPr>
          <w:rStyle w:val="lev"/>
          <w:rFonts w:ascii="Times New Roman" w:hAnsi="Times New Roman" w:cs="Times New Roman"/>
          <w:b w:val="0"/>
        </w:rPr>
        <w:t xml:space="preserve">à </w:t>
      </w:r>
      <w:r w:rsidR="009663F5">
        <w:rPr>
          <w:rStyle w:val="lev"/>
          <w:rFonts w:ascii="Times New Roman" w:hAnsi="Times New Roman" w:cs="Times New Roman"/>
          <w:b w:val="0"/>
        </w:rPr>
        <w:t xml:space="preserve">la </w:t>
      </w:r>
      <w:r w:rsidR="00A84844" w:rsidRPr="00E53B21">
        <w:rPr>
          <w:rStyle w:val="lev"/>
          <w:rFonts w:ascii="Times New Roman" w:hAnsi="Times New Roman" w:cs="Times New Roman"/>
          <w:b w:val="0"/>
        </w:rPr>
        <w:t>délibération</w:t>
      </w:r>
      <w:r w:rsidR="00A84844" w:rsidRPr="00E53B21">
        <w:rPr>
          <w:rFonts w:ascii="Times New Roman" w:hAnsi="Times New Roman" w:cs="Times New Roman"/>
          <w:b/>
          <w:bCs/>
        </w:rPr>
        <w:t xml:space="preserve"> </w:t>
      </w:r>
      <w:r w:rsidR="0090731F" w:rsidRPr="00E53B21">
        <w:rPr>
          <w:rStyle w:val="lev"/>
          <w:rFonts w:ascii="Times New Roman" w:hAnsi="Times New Roman" w:cs="Times New Roman"/>
          <w:b w:val="0"/>
        </w:rPr>
        <w:t>2019-013</w:t>
      </w:r>
      <w:r w:rsidR="004826E3" w:rsidRPr="00E53B21">
        <w:rPr>
          <w:rFonts w:ascii="Times New Roman" w:hAnsi="Times New Roman" w:cs="Times New Roman"/>
          <w:b/>
        </w:rPr>
        <w:t xml:space="preserve"> </w:t>
      </w:r>
      <w:r w:rsidR="004826E3" w:rsidRPr="00E53B21">
        <w:rPr>
          <w:rFonts w:ascii="Times New Roman" w:hAnsi="Times New Roman" w:cs="Times New Roman"/>
          <w:b/>
          <w:caps/>
          <w:color w:val="808080"/>
          <w:bdr w:val="single" w:sz="4" w:space="0" w:color="auto"/>
        </w:rPr>
        <w:t>CRUSTACES CRPM A</w:t>
      </w:r>
      <w:r w:rsidR="004826E3" w:rsidRPr="00E53B21">
        <w:rPr>
          <w:rFonts w:ascii="Times New Roman" w:hAnsi="Times New Roman" w:cs="Times New Roman"/>
          <w:b/>
        </w:rPr>
        <w:t xml:space="preserve"> </w:t>
      </w:r>
      <w:r w:rsidR="004826E3" w:rsidRPr="00E53B21">
        <w:rPr>
          <w:rFonts w:ascii="Times New Roman" w:hAnsi="Times New Roman" w:cs="Times New Roman"/>
        </w:rPr>
        <w:t>d</w:t>
      </w:r>
      <w:r w:rsidR="004826E3" w:rsidRPr="00E53B21">
        <w:rPr>
          <w:rStyle w:val="lev"/>
          <w:rFonts w:ascii="Times New Roman" w:hAnsi="Times New Roman" w:cs="Times New Roman"/>
          <w:b w:val="0"/>
        </w:rPr>
        <w:t xml:space="preserve">u </w:t>
      </w:r>
      <w:r w:rsidR="0090731F" w:rsidRPr="00E53B21">
        <w:rPr>
          <w:rStyle w:val="lev"/>
          <w:rFonts w:ascii="Times New Roman" w:hAnsi="Times New Roman" w:cs="Times New Roman"/>
          <w:b w:val="0"/>
        </w:rPr>
        <w:t>27 juin 2019</w:t>
      </w:r>
      <w:r w:rsidR="00EC5852" w:rsidRPr="00E53B21">
        <w:rPr>
          <w:rStyle w:val="lev"/>
          <w:rFonts w:ascii="Times New Roman" w:hAnsi="Times New Roman" w:cs="Times New Roman"/>
          <w:b w:val="0"/>
        </w:rPr>
        <w:t>.</w:t>
      </w:r>
    </w:p>
    <w:p w14:paraId="26F2D809" w14:textId="77777777" w:rsidR="00EC5852" w:rsidRPr="00E53B21" w:rsidRDefault="00EC5852" w:rsidP="0004085D">
      <w:pPr>
        <w:rPr>
          <w:rStyle w:val="lev"/>
          <w:rFonts w:ascii="Times New Roman" w:hAnsi="Times New Roman" w:cs="Times New Roman"/>
        </w:rPr>
      </w:pPr>
    </w:p>
    <w:p w14:paraId="0DEECF1E" w14:textId="5A1306A5" w:rsidR="0004085D" w:rsidRPr="00E53B21" w:rsidRDefault="00F50A21" w:rsidP="0004085D">
      <w:pPr>
        <w:rPr>
          <w:rStyle w:val="lev"/>
          <w:rFonts w:ascii="Times New Roman" w:hAnsi="Times New Roman" w:cs="Times New Roman"/>
          <w:u w:val="single"/>
        </w:rPr>
      </w:pPr>
      <w:r w:rsidRPr="00E53B21">
        <w:rPr>
          <w:rStyle w:val="lev"/>
          <w:rFonts w:ascii="Times New Roman" w:hAnsi="Times New Roman" w:cs="Times New Roman"/>
          <w:u w:val="single"/>
        </w:rPr>
        <w:t xml:space="preserve">CONTEXTE ET OBJECTIFS : </w:t>
      </w:r>
    </w:p>
    <w:p w14:paraId="25DAE29E" w14:textId="3CC15509" w:rsidR="004826E3" w:rsidRPr="00E53B21" w:rsidRDefault="004826E3" w:rsidP="004826E3">
      <w:pPr>
        <w:jc w:val="both"/>
        <w:rPr>
          <w:rStyle w:val="lev"/>
          <w:rFonts w:ascii="Times New Roman" w:hAnsi="Times New Roman" w:cs="Times New Roman"/>
        </w:rPr>
      </w:pPr>
      <w:r w:rsidRPr="00E53B21">
        <w:rPr>
          <w:rStyle w:val="lev"/>
          <w:rFonts w:ascii="Times New Roman" w:hAnsi="Times New Roman" w:cs="Times New Roman"/>
          <w:b w:val="0"/>
        </w:rPr>
        <w:t xml:space="preserve">La délibération « CRUSTACES CRPM A » encadre les conditions de d’attribution de la licence de pêche des crustacés dans les eaux territoriales situées au large de la région Bretagne. Elle fixe le périmètre de la licence, son contenu, ainsi que les modalités de son attribution. </w:t>
      </w:r>
    </w:p>
    <w:p w14:paraId="79BEEEA6" w14:textId="3BCD46FC" w:rsidR="005D0CDB" w:rsidRPr="00E53B21" w:rsidRDefault="005D0CDB" w:rsidP="005D0CDB">
      <w:pPr>
        <w:jc w:val="both"/>
        <w:rPr>
          <w:rStyle w:val="lev"/>
          <w:rFonts w:ascii="Times New Roman" w:hAnsi="Times New Roman" w:cs="Times New Roman"/>
          <w:b w:val="0"/>
        </w:rPr>
      </w:pPr>
      <w:r w:rsidRPr="00E53B21">
        <w:rPr>
          <w:rStyle w:val="lev"/>
          <w:rFonts w:ascii="Times New Roman" w:hAnsi="Times New Roman" w:cs="Times New Roman"/>
          <w:b w:val="0"/>
        </w:rPr>
        <w:t xml:space="preserve">Les modifications apportées sont issues des travaux effectués en groupe de travail </w:t>
      </w:r>
      <w:r w:rsidR="0090731F" w:rsidRPr="00E53B21">
        <w:rPr>
          <w:rStyle w:val="lev"/>
          <w:rFonts w:ascii="Times New Roman" w:hAnsi="Times New Roman" w:cs="Times New Roman"/>
          <w:b w:val="0"/>
        </w:rPr>
        <w:t xml:space="preserve">« Crustacés » du 26 septembre 2019 et du </w:t>
      </w:r>
      <w:r w:rsidR="001638D5" w:rsidRPr="00E53B21">
        <w:rPr>
          <w:rStyle w:val="lev"/>
          <w:rFonts w:ascii="Times New Roman" w:hAnsi="Times New Roman" w:cs="Times New Roman"/>
          <w:b w:val="0"/>
        </w:rPr>
        <w:t>10</w:t>
      </w:r>
      <w:r w:rsidR="0090731F" w:rsidRPr="00E53B21">
        <w:rPr>
          <w:rStyle w:val="lev"/>
          <w:rFonts w:ascii="Times New Roman" w:hAnsi="Times New Roman" w:cs="Times New Roman"/>
          <w:b w:val="0"/>
        </w:rPr>
        <w:t xml:space="preserve"> février 2019</w:t>
      </w:r>
      <w:r w:rsidR="009D31D7" w:rsidRPr="00E53B21">
        <w:rPr>
          <w:rStyle w:val="lev"/>
          <w:rFonts w:ascii="Times New Roman" w:hAnsi="Times New Roman" w:cs="Times New Roman"/>
          <w:b w:val="0"/>
        </w:rPr>
        <w:t xml:space="preserve"> et ont reçu un avis favorable. </w:t>
      </w:r>
    </w:p>
    <w:p w14:paraId="5B1A8741" w14:textId="2B75DE99" w:rsidR="00E53B21" w:rsidRPr="00E53B21" w:rsidRDefault="00E53B21" w:rsidP="005D0CDB">
      <w:pPr>
        <w:jc w:val="both"/>
        <w:rPr>
          <w:rStyle w:val="lev"/>
          <w:rFonts w:ascii="Times New Roman" w:hAnsi="Times New Roman" w:cs="Times New Roman"/>
          <w:b w:val="0"/>
        </w:rPr>
      </w:pPr>
      <w:r w:rsidRPr="00E53B21">
        <w:rPr>
          <w:rFonts w:ascii="Times New Roman" w:hAnsi="Times New Roman" w:cs="Times New Roman"/>
          <w:bCs/>
        </w:rPr>
        <w:t>Les modifications du projet de délibération approuvé par le présent projet d’arrêté concernent :</w:t>
      </w:r>
    </w:p>
    <w:p w14:paraId="246BCE7E" w14:textId="35A249E3" w:rsidR="0090731F" w:rsidRPr="00E53B21" w:rsidRDefault="0090731F" w:rsidP="0090731F">
      <w:pPr>
        <w:pStyle w:val="Paragraphedeliste"/>
        <w:numPr>
          <w:ilvl w:val="0"/>
          <w:numId w:val="7"/>
        </w:numPr>
        <w:jc w:val="both"/>
        <w:rPr>
          <w:rStyle w:val="lev"/>
          <w:rFonts w:ascii="Times New Roman" w:hAnsi="Times New Roman" w:cs="Times New Roman"/>
          <w:b w:val="0"/>
        </w:rPr>
      </w:pPr>
      <w:r w:rsidRPr="00E53B21">
        <w:rPr>
          <w:rStyle w:val="lev"/>
          <w:rFonts w:ascii="Times New Roman" w:hAnsi="Times New Roman" w:cs="Times New Roman"/>
          <w:b w:val="0"/>
        </w:rPr>
        <w:t>Rajout d’un article 2 « Définitions »</w:t>
      </w:r>
    </w:p>
    <w:p w14:paraId="35938D0B" w14:textId="27C18DF5" w:rsidR="005D0CDB" w:rsidRPr="00E53B21" w:rsidRDefault="0090731F" w:rsidP="005D0CDB">
      <w:pPr>
        <w:pStyle w:val="Paragraphedeliste"/>
        <w:numPr>
          <w:ilvl w:val="0"/>
          <w:numId w:val="7"/>
        </w:numPr>
        <w:jc w:val="both"/>
        <w:rPr>
          <w:rStyle w:val="lev"/>
          <w:rFonts w:ascii="Times New Roman" w:hAnsi="Times New Roman" w:cs="Times New Roman"/>
          <w:b w:val="0"/>
        </w:rPr>
      </w:pPr>
      <w:r w:rsidRPr="00E53B21">
        <w:rPr>
          <w:rStyle w:val="lev"/>
          <w:rFonts w:ascii="Times New Roman" w:hAnsi="Times New Roman" w:cs="Times New Roman"/>
          <w:b w:val="0"/>
        </w:rPr>
        <w:t>La mise en place d’un timbre spécial pour l’utilisation d’un casier à goulotte latérale dans les eaux territoriales situées au large du Morbihan.</w:t>
      </w:r>
    </w:p>
    <w:p w14:paraId="7896B490" w14:textId="77777777" w:rsidR="005D0CDB" w:rsidRPr="00E53B21" w:rsidRDefault="005D0CDB" w:rsidP="005D0CDB">
      <w:pPr>
        <w:jc w:val="both"/>
        <w:rPr>
          <w:rStyle w:val="lev"/>
          <w:rFonts w:ascii="Times New Roman" w:hAnsi="Times New Roman" w:cs="Times New Roman"/>
        </w:rPr>
      </w:pPr>
    </w:p>
    <w:p w14:paraId="4899E2C9" w14:textId="77777777" w:rsidR="005D0CDB" w:rsidRPr="00E53B21" w:rsidRDefault="005D0CDB" w:rsidP="005D0CDB">
      <w:pPr>
        <w:rPr>
          <w:rFonts w:ascii="Times New Roman" w:hAnsi="Times New Roman" w:cs="Times New Roman"/>
          <w:b/>
          <w:bCs/>
          <w:u w:val="single"/>
        </w:rPr>
      </w:pPr>
      <w:r w:rsidRPr="00E53B21">
        <w:rPr>
          <w:rFonts w:ascii="Times New Roman" w:hAnsi="Times New Roman" w:cs="Times New Roman"/>
          <w:b/>
          <w:bCs/>
          <w:u w:val="single"/>
        </w:rPr>
        <w:t xml:space="preserve">PROJET DE MODIFICATIONS </w:t>
      </w:r>
    </w:p>
    <w:p w14:paraId="17835A13" w14:textId="3825F2C7" w:rsidR="0090731F" w:rsidRPr="00E53B21" w:rsidRDefault="0090731F" w:rsidP="0090731F">
      <w:pPr>
        <w:pStyle w:val="Paragraphedeliste"/>
        <w:numPr>
          <w:ilvl w:val="0"/>
          <w:numId w:val="8"/>
        </w:numPr>
        <w:jc w:val="both"/>
        <w:rPr>
          <w:rFonts w:ascii="Times New Roman" w:hAnsi="Times New Roman" w:cs="Times New Roman"/>
          <w:b/>
          <w:bCs/>
          <w:i/>
          <w:u w:val="single"/>
        </w:rPr>
      </w:pPr>
      <w:r w:rsidRPr="00E53B21">
        <w:rPr>
          <w:rFonts w:ascii="Times New Roman" w:hAnsi="Times New Roman" w:cs="Times New Roman"/>
          <w:b/>
          <w:bCs/>
          <w:i/>
          <w:u w:val="single"/>
        </w:rPr>
        <w:t>Rajout d’un article 2 « Définitions »</w:t>
      </w:r>
    </w:p>
    <w:p w14:paraId="7704856C" w14:textId="7398D1AA" w:rsidR="0090731F" w:rsidRPr="00E53B21" w:rsidRDefault="0090731F" w:rsidP="0090731F">
      <w:pPr>
        <w:jc w:val="both"/>
        <w:rPr>
          <w:rFonts w:ascii="Times New Roman" w:hAnsi="Times New Roman" w:cs="Times New Roman"/>
          <w:iCs/>
        </w:rPr>
      </w:pPr>
      <w:r w:rsidRPr="00E53B21">
        <w:rPr>
          <w:rFonts w:ascii="Times New Roman" w:hAnsi="Times New Roman" w:cs="Times New Roman"/>
          <w:iCs/>
        </w:rPr>
        <w:t xml:space="preserve">Afin de clarifier les délibérations encadrant la pêche des crustacés dans les eaux territoriales situées au large de la Bretagne, il est </w:t>
      </w:r>
      <w:r w:rsidR="00370F6A" w:rsidRPr="00E53B21">
        <w:rPr>
          <w:rFonts w:ascii="Times New Roman" w:hAnsi="Times New Roman" w:cs="Times New Roman"/>
          <w:iCs/>
        </w:rPr>
        <w:t>créé</w:t>
      </w:r>
      <w:r w:rsidRPr="00E53B21">
        <w:rPr>
          <w:rFonts w:ascii="Times New Roman" w:hAnsi="Times New Roman" w:cs="Times New Roman"/>
          <w:iCs/>
        </w:rPr>
        <w:t xml:space="preserve"> un article 2 </w:t>
      </w:r>
      <w:r w:rsidR="00370F6A" w:rsidRPr="00E53B21">
        <w:rPr>
          <w:rFonts w:ascii="Times New Roman" w:hAnsi="Times New Roman" w:cs="Times New Roman"/>
          <w:iCs/>
        </w:rPr>
        <w:t>fixant</w:t>
      </w:r>
      <w:r w:rsidRPr="00E53B21">
        <w:rPr>
          <w:rFonts w:ascii="Times New Roman" w:hAnsi="Times New Roman" w:cs="Times New Roman"/>
          <w:iCs/>
        </w:rPr>
        <w:t xml:space="preserve"> </w:t>
      </w:r>
      <w:r w:rsidR="00370F6A" w:rsidRPr="00E53B21">
        <w:rPr>
          <w:rFonts w:ascii="Times New Roman" w:hAnsi="Times New Roman" w:cs="Times New Roman"/>
          <w:iCs/>
        </w:rPr>
        <w:t>plusieurs définitions</w:t>
      </w:r>
      <w:r w:rsidRPr="00E53B21">
        <w:rPr>
          <w:rFonts w:ascii="Times New Roman" w:hAnsi="Times New Roman" w:cs="Times New Roman"/>
          <w:iCs/>
        </w:rPr>
        <w:t xml:space="preserve"> : </w:t>
      </w:r>
    </w:p>
    <w:p w14:paraId="33F8A9E4" w14:textId="365702B6" w:rsidR="0090731F" w:rsidRPr="00E53B21" w:rsidRDefault="0090731F" w:rsidP="0090731F">
      <w:pPr>
        <w:jc w:val="both"/>
        <w:rPr>
          <w:rFonts w:ascii="Times New Roman" w:hAnsi="Times New Roman" w:cs="Times New Roman"/>
          <w:iCs/>
        </w:rPr>
      </w:pPr>
      <w:r w:rsidRPr="00E53B21">
        <w:rPr>
          <w:rFonts w:ascii="Times New Roman" w:hAnsi="Times New Roman" w:cs="Times New Roman"/>
          <w:iCs/>
          <w:u w:val="single"/>
        </w:rPr>
        <w:t>2.1 Définition de l’ensemble des crustacés couverts par le terme « Gros crustacés ».</w:t>
      </w:r>
      <w:r w:rsidRPr="00E53B21">
        <w:rPr>
          <w:rFonts w:ascii="Times New Roman" w:hAnsi="Times New Roman" w:cs="Times New Roman"/>
          <w:iCs/>
        </w:rPr>
        <w:t xml:space="preserve"> Cette définition était jusqu’alors fixée dans la délibération B et</w:t>
      </w:r>
      <w:r w:rsidR="00370F6A" w:rsidRPr="00E53B21">
        <w:rPr>
          <w:rFonts w:ascii="Times New Roman" w:hAnsi="Times New Roman" w:cs="Times New Roman"/>
          <w:iCs/>
        </w:rPr>
        <w:t xml:space="preserve"> n’est pas modifiée</w:t>
      </w:r>
      <w:r w:rsidR="006C1BD7" w:rsidRPr="00E53B21">
        <w:rPr>
          <w:rFonts w:ascii="Times New Roman" w:hAnsi="Times New Roman" w:cs="Times New Roman"/>
          <w:iCs/>
        </w:rPr>
        <w:t xml:space="preserve"> : </w:t>
      </w:r>
    </w:p>
    <w:p w14:paraId="69646E63" w14:textId="1F5A1033" w:rsidR="0090731F" w:rsidRPr="00E53B21" w:rsidRDefault="0090731F" w:rsidP="0090731F">
      <w:pPr>
        <w:jc w:val="both"/>
        <w:rPr>
          <w:rFonts w:ascii="Times New Roman" w:hAnsi="Times New Roman" w:cs="Times New Roman"/>
          <w:i/>
          <w:iCs/>
        </w:rPr>
      </w:pPr>
      <w:r w:rsidRPr="00E53B21">
        <w:rPr>
          <w:rFonts w:ascii="Times New Roman" w:hAnsi="Times New Roman" w:cs="Times New Roman"/>
          <w:i/>
          <w:iCs/>
        </w:rPr>
        <w:t xml:space="preserve">Sont considérés comme « gros crustacés » les espèces suivantes : </w:t>
      </w:r>
    </w:p>
    <w:p w14:paraId="4CEBC067" w14:textId="77777777" w:rsidR="0090731F" w:rsidRPr="00E53B21" w:rsidRDefault="0090731F" w:rsidP="0090731F">
      <w:pPr>
        <w:numPr>
          <w:ilvl w:val="0"/>
          <w:numId w:val="6"/>
        </w:numPr>
        <w:spacing w:after="0" w:line="240" w:lineRule="auto"/>
        <w:jc w:val="both"/>
        <w:rPr>
          <w:rFonts w:ascii="Times New Roman" w:hAnsi="Times New Roman" w:cs="Times New Roman"/>
          <w:i/>
          <w:iCs/>
        </w:rPr>
      </w:pPr>
      <w:r w:rsidRPr="00E53B21">
        <w:rPr>
          <w:rFonts w:ascii="Times New Roman" w:hAnsi="Times New Roman" w:cs="Times New Roman"/>
          <w:i/>
          <w:iCs/>
        </w:rPr>
        <w:t xml:space="preserve">Araignée de mer (Maja </w:t>
      </w:r>
      <w:proofErr w:type="spellStart"/>
      <w:r w:rsidRPr="00E53B21">
        <w:rPr>
          <w:rFonts w:ascii="Times New Roman" w:hAnsi="Times New Roman" w:cs="Times New Roman"/>
          <w:i/>
          <w:iCs/>
        </w:rPr>
        <w:t>brachydactyla</w:t>
      </w:r>
      <w:proofErr w:type="spellEnd"/>
      <w:r w:rsidRPr="00E53B21">
        <w:rPr>
          <w:rFonts w:ascii="Times New Roman" w:hAnsi="Times New Roman" w:cs="Times New Roman"/>
          <w:i/>
          <w:iCs/>
        </w:rPr>
        <w:t>)</w:t>
      </w:r>
    </w:p>
    <w:p w14:paraId="0B41139A" w14:textId="77777777" w:rsidR="0090731F" w:rsidRPr="00E53B21" w:rsidRDefault="0090731F" w:rsidP="0090731F">
      <w:pPr>
        <w:numPr>
          <w:ilvl w:val="0"/>
          <w:numId w:val="6"/>
        </w:numPr>
        <w:spacing w:after="0" w:line="240" w:lineRule="auto"/>
        <w:jc w:val="both"/>
        <w:rPr>
          <w:rFonts w:ascii="Times New Roman" w:hAnsi="Times New Roman" w:cs="Times New Roman"/>
          <w:i/>
          <w:iCs/>
        </w:rPr>
      </w:pPr>
      <w:r w:rsidRPr="00E53B21">
        <w:rPr>
          <w:rFonts w:ascii="Times New Roman" w:hAnsi="Times New Roman" w:cs="Times New Roman"/>
          <w:i/>
          <w:iCs/>
        </w:rPr>
        <w:t xml:space="preserve">Crabe tourteau (Cancer </w:t>
      </w:r>
      <w:proofErr w:type="spellStart"/>
      <w:r w:rsidRPr="00E53B21">
        <w:rPr>
          <w:rFonts w:ascii="Times New Roman" w:hAnsi="Times New Roman" w:cs="Times New Roman"/>
          <w:i/>
          <w:iCs/>
        </w:rPr>
        <w:t>pagurus</w:t>
      </w:r>
      <w:proofErr w:type="spellEnd"/>
      <w:r w:rsidRPr="00E53B21">
        <w:rPr>
          <w:rFonts w:ascii="Times New Roman" w:hAnsi="Times New Roman" w:cs="Times New Roman"/>
          <w:i/>
          <w:iCs/>
        </w:rPr>
        <w:t>)</w:t>
      </w:r>
    </w:p>
    <w:p w14:paraId="5A99A8CD" w14:textId="77777777" w:rsidR="0090731F" w:rsidRPr="00E53B21" w:rsidRDefault="0090731F" w:rsidP="0090731F">
      <w:pPr>
        <w:numPr>
          <w:ilvl w:val="0"/>
          <w:numId w:val="6"/>
        </w:numPr>
        <w:spacing w:after="0" w:line="240" w:lineRule="auto"/>
        <w:jc w:val="both"/>
        <w:rPr>
          <w:rFonts w:ascii="Times New Roman" w:hAnsi="Times New Roman" w:cs="Times New Roman"/>
          <w:i/>
          <w:iCs/>
        </w:rPr>
      </w:pPr>
      <w:r w:rsidRPr="00E53B21">
        <w:rPr>
          <w:rFonts w:ascii="Times New Roman" w:hAnsi="Times New Roman" w:cs="Times New Roman"/>
          <w:i/>
          <w:iCs/>
        </w:rPr>
        <w:t>Homard (</w:t>
      </w:r>
      <w:proofErr w:type="spellStart"/>
      <w:r w:rsidRPr="00E53B21">
        <w:rPr>
          <w:rFonts w:ascii="Times New Roman" w:hAnsi="Times New Roman" w:cs="Times New Roman"/>
          <w:i/>
          <w:iCs/>
        </w:rPr>
        <w:t>Homarus</w:t>
      </w:r>
      <w:proofErr w:type="spellEnd"/>
      <w:r w:rsidRPr="00E53B21">
        <w:rPr>
          <w:rFonts w:ascii="Times New Roman" w:hAnsi="Times New Roman" w:cs="Times New Roman"/>
          <w:i/>
          <w:iCs/>
        </w:rPr>
        <w:t xml:space="preserve"> </w:t>
      </w:r>
      <w:proofErr w:type="spellStart"/>
      <w:r w:rsidRPr="00E53B21">
        <w:rPr>
          <w:rFonts w:ascii="Times New Roman" w:hAnsi="Times New Roman" w:cs="Times New Roman"/>
          <w:i/>
          <w:iCs/>
        </w:rPr>
        <w:t>gammarus</w:t>
      </w:r>
      <w:proofErr w:type="spellEnd"/>
      <w:r w:rsidRPr="00E53B21">
        <w:rPr>
          <w:rFonts w:ascii="Times New Roman" w:hAnsi="Times New Roman" w:cs="Times New Roman"/>
          <w:i/>
          <w:iCs/>
        </w:rPr>
        <w:t>)</w:t>
      </w:r>
    </w:p>
    <w:p w14:paraId="53EDA09B" w14:textId="77777777" w:rsidR="0090731F" w:rsidRPr="00E53B21" w:rsidRDefault="0090731F" w:rsidP="0090731F">
      <w:pPr>
        <w:numPr>
          <w:ilvl w:val="0"/>
          <w:numId w:val="6"/>
        </w:numPr>
        <w:spacing w:after="0" w:line="240" w:lineRule="auto"/>
        <w:jc w:val="both"/>
        <w:rPr>
          <w:rFonts w:ascii="Times New Roman" w:hAnsi="Times New Roman" w:cs="Times New Roman"/>
          <w:i/>
          <w:iCs/>
        </w:rPr>
      </w:pPr>
      <w:r w:rsidRPr="00E53B21">
        <w:rPr>
          <w:rFonts w:ascii="Times New Roman" w:hAnsi="Times New Roman" w:cs="Times New Roman"/>
          <w:i/>
          <w:iCs/>
        </w:rPr>
        <w:t>Langoustes (</w:t>
      </w:r>
      <w:proofErr w:type="spellStart"/>
      <w:r w:rsidRPr="00E53B21">
        <w:rPr>
          <w:rFonts w:ascii="Times New Roman" w:hAnsi="Times New Roman" w:cs="Times New Roman"/>
          <w:i/>
          <w:iCs/>
        </w:rPr>
        <w:t>Palinurus</w:t>
      </w:r>
      <w:proofErr w:type="spellEnd"/>
      <w:r w:rsidRPr="00E53B21">
        <w:rPr>
          <w:rFonts w:ascii="Times New Roman" w:hAnsi="Times New Roman" w:cs="Times New Roman"/>
          <w:i/>
          <w:iCs/>
        </w:rPr>
        <w:t xml:space="preserve"> </w:t>
      </w:r>
      <w:proofErr w:type="spellStart"/>
      <w:r w:rsidRPr="00E53B21">
        <w:rPr>
          <w:rFonts w:ascii="Times New Roman" w:hAnsi="Times New Roman" w:cs="Times New Roman"/>
          <w:i/>
          <w:iCs/>
        </w:rPr>
        <w:t>spp</w:t>
      </w:r>
      <w:proofErr w:type="spellEnd"/>
      <w:r w:rsidRPr="00E53B21">
        <w:rPr>
          <w:rFonts w:ascii="Times New Roman" w:hAnsi="Times New Roman" w:cs="Times New Roman"/>
          <w:i/>
          <w:iCs/>
        </w:rPr>
        <w:t>)</w:t>
      </w:r>
    </w:p>
    <w:p w14:paraId="6F344A99" w14:textId="77777777" w:rsidR="0090731F" w:rsidRPr="00E53B21" w:rsidRDefault="0090731F" w:rsidP="0090731F">
      <w:pPr>
        <w:jc w:val="both"/>
        <w:rPr>
          <w:rFonts w:ascii="Times New Roman" w:hAnsi="Times New Roman" w:cs="Times New Roman"/>
          <w:iCs/>
        </w:rPr>
      </w:pPr>
    </w:p>
    <w:p w14:paraId="669462CF" w14:textId="0B4825BA" w:rsidR="00006569" w:rsidRPr="00E53B21" w:rsidRDefault="0090731F" w:rsidP="004E64B7">
      <w:pPr>
        <w:jc w:val="both"/>
        <w:rPr>
          <w:rFonts w:ascii="Times New Roman" w:hAnsi="Times New Roman" w:cs="Times New Roman"/>
          <w:iCs/>
        </w:rPr>
      </w:pPr>
      <w:r w:rsidRPr="00E53B21">
        <w:rPr>
          <w:rFonts w:ascii="Times New Roman" w:hAnsi="Times New Roman" w:cs="Times New Roman"/>
          <w:bCs/>
          <w:u w:val="single"/>
        </w:rPr>
        <w:lastRenderedPageBreak/>
        <w:t>2.2 Définition du casier parloir.</w:t>
      </w:r>
      <w:r w:rsidRPr="00E53B21">
        <w:rPr>
          <w:rFonts w:ascii="Times New Roman" w:hAnsi="Times New Roman" w:cs="Times New Roman"/>
          <w:bCs/>
        </w:rPr>
        <w:t xml:space="preserve"> Cette définition qui figure dans la délibération </w:t>
      </w:r>
      <w:r w:rsidR="00370F6A" w:rsidRPr="00E53B21">
        <w:rPr>
          <w:rFonts w:ascii="Times New Roman" w:hAnsi="Times New Roman" w:cs="Times New Roman"/>
          <w:bCs/>
        </w:rPr>
        <w:t>adoptée</w:t>
      </w:r>
      <w:r w:rsidRPr="00E53B21">
        <w:rPr>
          <w:rFonts w:ascii="Times New Roman" w:hAnsi="Times New Roman" w:cs="Times New Roman"/>
          <w:bCs/>
        </w:rPr>
        <w:t xml:space="preserve"> par le Comité national des pêches maritimes et des élevages marins (CNPMEM) est reprise dans le projet de délibération A. </w:t>
      </w:r>
      <w:r w:rsidRPr="00E53B21">
        <w:rPr>
          <w:rFonts w:ascii="Times New Roman" w:hAnsi="Times New Roman" w:cs="Times New Roman"/>
          <w:iCs/>
        </w:rPr>
        <w:t xml:space="preserve">Cette définition était jusqu’alors fixée dans la délibération B </w:t>
      </w:r>
      <w:r w:rsidR="00370F6A" w:rsidRPr="00E53B21">
        <w:rPr>
          <w:rFonts w:ascii="Times New Roman" w:hAnsi="Times New Roman" w:cs="Times New Roman"/>
          <w:iCs/>
        </w:rPr>
        <w:t>et n’est pas modifiée</w:t>
      </w:r>
      <w:r w:rsidR="006C1BD7" w:rsidRPr="00E53B21">
        <w:rPr>
          <w:rFonts w:ascii="Times New Roman" w:hAnsi="Times New Roman" w:cs="Times New Roman"/>
          <w:iCs/>
        </w:rPr>
        <w:t xml:space="preserve"> : </w:t>
      </w:r>
    </w:p>
    <w:p w14:paraId="3BE6EBC0" w14:textId="007DAB11" w:rsidR="006C1BD7" w:rsidRPr="00E53B21" w:rsidRDefault="006C1BD7" w:rsidP="006C1BD7">
      <w:pPr>
        <w:spacing w:after="0"/>
        <w:jc w:val="both"/>
        <w:rPr>
          <w:rFonts w:ascii="Times New Roman" w:hAnsi="Times New Roman" w:cs="Times New Roman"/>
          <w:i/>
          <w:iCs/>
        </w:rPr>
      </w:pPr>
      <w:r w:rsidRPr="00E53B21">
        <w:rPr>
          <w:rFonts w:ascii="Times New Roman" w:hAnsi="Times New Roman" w:cs="Times New Roman"/>
          <w:i/>
          <w:iCs/>
        </w:rPr>
        <w:t>Est considéré comme un « casier à parloir », tout engin qui ne correspond pas à l’une des caractéristiques suivantes :</w:t>
      </w:r>
    </w:p>
    <w:p w14:paraId="24EF05EF" w14:textId="2DC49E10" w:rsidR="006C1BD7" w:rsidRPr="00E53B21" w:rsidRDefault="006C1BD7" w:rsidP="006C1BD7">
      <w:pPr>
        <w:spacing w:after="0"/>
        <w:jc w:val="both"/>
        <w:rPr>
          <w:rFonts w:ascii="Times New Roman" w:hAnsi="Times New Roman" w:cs="Times New Roman"/>
          <w:i/>
          <w:iCs/>
        </w:rPr>
      </w:pPr>
      <w:r w:rsidRPr="00E53B21">
        <w:rPr>
          <w:rFonts w:ascii="Times New Roman" w:hAnsi="Times New Roman" w:cs="Times New Roman"/>
          <w:i/>
          <w:iCs/>
        </w:rPr>
        <w:t xml:space="preserve">      - Equipé d’une goulotte rigide, droite ou conique de 140mm ou plus,  </w:t>
      </w:r>
    </w:p>
    <w:p w14:paraId="640D75B7" w14:textId="27AF05C9" w:rsidR="006C1BD7" w:rsidRPr="00E53B21" w:rsidRDefault="006C1BD7" w:rsidP="006C1BD7">
      <w:pPr>
        <w:spacing w:after="0"/>
        <w:jc w:val="both"/>
        <w:rPr>
          <w:rFonts w:ascii="Times New Roman" w:hAnsi="Times New Roman" w:cs="Times New Roman"/>
          <w:i/>
          <w:iCs/>
        </w:rPr>
      </w:pPr>
      <w:r w:rsidRPr="00E53B21">
        <w:rPr>
          <w:rFonts w:ascii="Times New Roman" w:hAnsi="Times New Roman" w:cs="Times New Roman"/>
          <w:i/>
          <w:iCs/>
        </w:rPr>
        <w:t xml:space="preserve">      - Sans cloisonnement ou dispositif anti retour.</w:t>
      </w:r>
    </w:p>
    <w:p w14:paraId="69DC1A39" w14:textId="77777777" w:rsidR="006C1BD7" w:rsidRPr="00E53B21" w:rsidRDefault="006C1BD7" w:rsidP="0090731F">
      <w:pPr>
        <w:rPr>
          <w:rFonts w:ascii="Times New Roman" w:hAnsi="Times New Roman" w:cs="Times New Roman"/>
          <w:iCs/>
        </w:rPr>
      </w:pPr>
    </w:p>
    <w:p w14:paraId="5DFB47D1" w14:textId="71A94382" w:rsidR="0090731F" w:rsidRPr="00E53B21" w:rsidRDefault="0090731F" w:rsidP="0090731F">
      <w:pPr>
        <w:jc w:val="both"/>
        <w:rPr>
          <w:rFonts w:ascii="Times New Roman" w:hAnsi="Times New Roman" w:cs="Times New Roman"/>
          <w:iCs/>
        </w:rPr>
      </w:pPr>
      <w:r w:rsidRPr="00E53B21">
        <w:rPr>
          <w:rFonts w:ascii="Times New Roman" w:hAnsi="Times New Roman" w:cs="Times New Roman"/>
          <w:iCs/>
          <w:u w:val="single"/>
        </w:rPr>
        <w:t xml:space="preserve">2.3 </w:t>
      </w:r>
      <w:r w:rsidR="00370F6A" w:rsidRPr="00E53B21">
        <w:rPr>
          <w:rFonts w:ascii="Times New Roman" w:hAnsi="Times New Roman" w:cs="Times New Roman"/>
          <w:iCs/>
          <w:u w:val="single"/>
        </w:rPr>
        <w:t xml:space="preserve">Au sein de la catégorie des casiers dit « parloirs », </w:t>
      </w:r>
      <w:r w:rsidR="002B36F6">
        <w:rPr>
          <w:rFonts w:ascii="Times New Roman" w:hAnsi="Times New Roman" w:cs="Times New Roman"/>
          <w:iCs/>
          <w:u w:val="single"/>
        </w:rPr>
        <w:t>i</w:t>
      </w:r>
      <w:r w:rsidRPr="00E53B21">
        <w:rPr>
          <w:rFonts w:ascii="Times New Roman" w:hAnsi="Times New Roman" w:cs="Times New Roman"/>
          <w:iCs/>
          <w:u w:val="single"/>
        </w:rPr>
        <w:t xml:space="preserve">l est également défini un casier à gros crustacés dit « casier à </w:t>
      </w:r>
      <w:proofErr w:type="spellStart"/>
      <w:r w:rsidRPr="00E53B21">
        <w:rPr>
          <w:rFonts w:ascii="Times New Roman" w:hAnsi="Times New Roman" w:cs="Times New Roman"/>
          <w:iCs/>
          <w:u w:val="single"/>
        </w:rPr>
        <w:t>entrée</w:t>
      </w:r>
      <w:proofErr w:type="spellEnd"/>
      <w:r w:rsidRPr="00E53B21">
        <w:rPr>
          <w:rFonts w:ascii="Times New Roman" w:hAnsi="Times New Roman" w:cs="Times New Roman"/>
          <w:iCs/>
          <w:u w:val="single"/>
        </w:rPr>
        <w:t>(s) latérale(s) »</w:t>
      </w:r>
      <w:r w:rsidRPr="00E53B21">
        <w:rPr>
          <w:rFonts w:ascii="Times New Roman" w:hAnsi="Times New Roman" w:cs="Times New Roman"/>
          <w:iCs/>
        </w:rPr>
        <w:t xml:space="preserve"> dont les caractéristiques sont les suivantes : </w:t>
      </w:r>
    </w:p>
    <w:p w14:paraId="0BFEFAAA" w14:textId="2324EC48" w:rsidR="0090731F" w:rsidRPr="00E53B21" w:rsidRDefault="0090731F" w:rsidP="0090731F">
      <w:pPr>
        <w:numPr>
          <w:ilvl w:val="0"/>
          <w:numId w:val="9"/>
        </w:numPr>
        <w:spacing w:after="0" w:line="240" w:lineRule="auto"/>
        <w:jc w:val="both"/>
        <w:rPr>
          <w:rFonts w:ascii="Times New Roman" w:hAnsi="Times New Roman" w:cs="Times New Roman"/>
          <w:i/>
          <w:iCs/>
        </w:rPr>
      </w:pPr>
      <w:r w:rsidRPr="00E53B21">
        <w:rPr>
          <w:rFonts w:ascii="Times New Roman" w:hAnsi="Times New Roman" w:cs="Times New Roman"/>
          <w:i/>
          <w:iCs/>
        </w:rPr>
        <w:t>Goulotte ronde ou ovale</w:t>
      </w:r>
      <w:r w:rsidR="005F0C28" w:rsidRPr="00E53B21">
        <w:rPr>
          <w:rFonts w:ascii="Times New Roman" w:hAnsi="Times New Roman" w:cs="Times New Roman"/>
          <w:i/>
          <w:iCs/>
        </w:rPr>
        <w:t xml:space="preserve">, </w:t>
      </w:r>
      <w:r w:rsidR="00B914F2" w:rsidRPr="00E53B21">
        <w:rPr>
          <w:rFonts w:ascii="Times New Roman" w:hAnsi="Times New Roman" w:cs="Times New Roman"/>
          <w:i/>
          <w:iCs/>
        </w:rPr>
        <w:t xml:space="preserve">non rigide, </w:t>
      </w:r>
      <w:r w:rsidRPr="00E53B21">
        <w:rPr>
          <w:rFonts w:ascii="Times New Roman" w:hAnsi="Times New Roman" w:cs="Times New Roman"/>
          <w:i/>
          <w:iCs/>
        </w:rPr>
        <w:t xml:space="preserve">dont l’entrée a un diamètre de 160 mm minimum. </w:t>
      </w:r>
    </w:p>
    <w:p w14:paraId="4FE30826" w14:textId="77777777" w:rsidR="0090731F" w:rsidRPr="00E53B21" w:rsidRDefault="0090731F" w:rsidP="0090731F">
      <w:pPr>
        <w:numPr>
          <w:ilvl w:val="0"/>
          <w:numId w:val="9"/>
        </w:numPr>
        <w:spacing w:after="0" w:line="240" w:lineRule="auto"/>
        <w:jc w:val="both"/>
        <w:rPr>
          <w:rFonts w:ascii="Times New Roman" w:hAnsi="Times New Roman" w:cs="Times New Roman"/>
          <w:i/>
          <w:iCs/>
        </w:rPr>
      </w:pPr>
      <w:r w:rsidRPr="00E53B21">
        <w:rPr>
          <w:rFonts w:ascii="Times New Roman" w:hAnsi="Times New Roman" w:cs="Times New Roman"/>
          <w:i/>
          <w:iCs/>
        </w:rPr>
        <w:t>Armature rigide non pliante</w:t>
      </w:r>
    </w:p>
    <w:p w14:paraId="53BC8314" w14:textId="77777777" w:rsidR="0090731F" w:rsidRPr="00E53B21" w:rsidRDefault="0090731F" w:rsidP="0090731F">
      <w:pPr>
        <w:numPr>
          <w:ilvl w:val="0"/>
          <w:numId w:val="9"/>
        </w:numPr>
        <w:spacing w:after="0" w:line="240" w:lineRule="auto"/>
        <w:jc w:val="both"/>
        <w:rPr>
          <w:rFonts w:ascii="Times New Roman" w:hAnsi="Times New Roman" w:cs="Times New Roman"/>
          <w:i/>
          <w:iCs/>
        </w:rPr>
      </w:pPr>
      <w:r w:rsidRPr="00E53B21">
        <w:rPr>
          <w:rFonts w:ascii="Times New Roman" w:hAnsi="Times New Roman" w:cs="Times New Roman"/>
          <w:i/>
          <w:iCs/>
        </w:rPr>
        <w:t xml:space="preserve">Sans cloisonnement </w:t>
      </w:r>
    </w:p>
    <w:p w14:paraId="4976A9F0" w14:textId="77777777" w:rsidR="00B914F2" w:rsidRPr="00E53B21" w:rsidRDefault="00B914F2" w:rsidP="0090731F">
      <w:pPr>
        <w:rPr>
          <w:rFonts w:ascii="Times New Roman" w:hAnsi="Times New Roman" w:cs="Times New Roman"/>
          <w:bCs/>
        </w:rPr>
      </w:pPr>
    </w:p>
    <w:p w14:paraId="26F3008C" w14:textId="71515506" w:rsidR="00B914F2" w:rsidRPr="00E53B21" w:rsidRDefault="00B914F2" w:rsidP="004F513B">
      <w:pPr>
        <w:jc w:val="both"/>
        <w:rPr>
          <w:rFonts w:ascii="Times New Roman" w:hAnsi="Times New Roman" w:cs="Times New Roman"/>
          <w:bCs/>
        </w:rPr>
      </w:pPr>
      <w:r w:rsidRPr="00E53B21">
        <w:rPr>
          <w:rFonts w:ascii="Times New Roman" w:hAnsi="Times New Roman" w:cs="Times New Roman"/>
          <w:bCs/>
        </w:rPr>
        <w:t>Il est explici</w:t>
      </w:r>
      <w:r w:rsidR="004F513B">
        <w:rPr>
          <w:rFonts w:ascii="Times New Roman" w:hAnsi="Times New Roman" w:cs="Times New Roman"/>
          <w:bCs/>
        </w:rPr>
        <w:t>tement mentionné que ce casier a</w:t>
      </w:r>
      <w:r w:rsidRPr="00E53B21">
        <w:rPr>
          <w:rFonts w:ascii="Times New Roman" w:hAnsi="Times New Roman" w:cs="Times New Roman"/>
          <w:bCs/>
        </w:rPr>
        <w:t xml:space="preserve"> une goulotte non rigide, ce qui en fait une particularité en Bretagne. Les casiers disposant d’une goulotte latérale rigide</w:t>
      </w:r>
      <w:r w:rsidR="004F513B">
        <w:rPr>
          <w:rFonts w:ascii="Times New Roman" w:hAnsi="Times New Roman" w:cs="Times New Roman"/>
          <w:bCs/>
        </w:rPr>
        <w:t xml:space="preserve"> de moins de 140 millimètres</w:t>
      </w:r>
      <w:r w:rsidRPr="00E53B21">
        <w:rPr>
          <w:rFonts w:ascii="Times New Roman" w:hAnsi="Times New Roman" w:cs="Times New Roman"/>
          <w:bCs/>
        </w:rPr>
        <w:t xml:space="preserve"> ne sont pas couvert par ce timbre et sont autorisés en Bretagne. </w:t>
      </w:r>
    </w:p>
    <w:p w14:paraId="2998604B" w14:textId="77777777" w:rsidR="00B914F2" w:rsidRPr="00E53B21" w:rsidRDefault="00B914F2" w:rsidP="0090731F">
      <w:pPr>
        <w:rPr>
          <w:rFonts w:ascii="Times New Roman" w:hAnsi="Times New Roman" w:cs="Times New Roman"/>
          <w:bCs/>
        </w:rPr>
      </w:pPr>
    </w:p>
    <w:p w14:paraId="1178E95C" w14:textId="4D027E7A" w:rsidR="00370F6A" w:rsidRPr="00E53B21" w:rsidRDefault="00370F6A" w:rsidP="005D0CDB">
      <w:pPr>
        <w:pStyle w:val="Paragraphedeliste"/>
        <w:numPr>
          <w:ilvl w:val="0"/>
          <w:numId w:val="8"/>
        </w:numPr>
        <w:jc w:val="both"/>
        <w:rPr>
          <w:rFonts w:ascii="Times New Roman" w:hAnsi="Times New Roman" w:cs="Times New Roman"/>
          <w:i/>
          <w:u w:val="single"/>
        </w:rPr>
      </w:pPr>
      <w:r w:rsidRPr="00E53B21">
        <w:rPr>
          <w:rFonts w:ascii="Times New Roman" w:hAnsi="Times New Roman" w:cs="Times New Roman"/>
          <w:b/>
          <w:bCs/>
          <w:i/>
          <w:u w:val="single"/>
        </w:rPr>
        <w:t>Mise en place d’un timbre spécial pour l’utilisation d’un casier à goulotte latérale dans les eaux territoriales situées au large du Morbihan</w:t>
      </w:r>
      <w:r w:rsidRPr="00E53B21">
        <w:rPr>
          <w:rFonts w:ascii="Times New Roman" w:hAnsi="Times New Roman" w:cs="Times New Roman"/>
          <w:i/>
          <w:u w:val="single"/>
        </w:rPr>
        <w:t>.</w:t>
      </w:r>
    </w:p>
    <w:p w14:paraId="67B2A831" w14:textId="6A3D0225" w:rsidR="00864ABD" w:rsidRPr="00E53B21" w:rsidRDefault="004F513B" w:rsidP="005D0CDB">
      <w:pPr>
        <w:jc w:val="both"/>
        <w:rPr>
          <w:rFonts w:ascii="Times New Roman" w:hAnsi="Times New Roman" w:cs="Times New Roman"/>
          <w:iCs/>
        </w:rPr>
      </w:pPr>
      <w:r>
        <w:rPr>
          <w:rFonts w:ascii="Times New Roman" w:hAnsi="Times New Roman" w:cs="Times New Roman"/>
          <w:bCs/>
        </w:rPr>
        <w:t>De par</w:t>
      </w:r>
      <w:r w:rsidR="00370F6A" w:rsidRPr="00E53B21">
        <w:rPr>
          <w:rFonts w:ascii="Times New Roman" w:hAnsi="Times New Roman" w:cs="Times New Roman"/>
          <w:bCs/>
        </w:rPr>
        <w:t xml:space="preserve"> la configuration du littoral morbihannais </w:t>
      </w:r>
      <w:r w:rsidR="00402C25" w:rsidRPr="00E53B21">
        <w:rPr>
          <w:rFonts w:ascii="Times New Roman" w:hAnsi="Times New Roman" w:cs="Times New Roman"/>
          <w:bCs/>
        </w:rPr>
        <w:t>et des zones à fortes courantologies autour des différentes îles, le CDPMEM du Morbihan a fait remonter la volonté des professionnels d’autoriser un certain type de casier</w:t>
      </w:r>
      <w:r w:rsidR="004E64B7" w:rsidRPr="00E53B21">
        <w:rPr>
          <w:rFonts w:ascii="Times New Roman" w:hAnsi="Times New Roman" w:cs="Times New Roman"/>
          <w:bCs/>
        </w:rPr>
        <w:t xml:space="preserve"> afin de cibler le homard</w:t>
      </w:r>
      <w:r w:rsidR="00402C25" w:rsidRPr="00E53B21">
        <w:rPr>
          <w:rFonts w:ascii="Times New Roman" w:hAnsi="Times New Roman" w:cs="Times New Roman"/>
          <w:bCs/>
        </w:rPr>
        <w:t xml:space="preserve">, dit </w:t>
      </w:r>
      <w:r w:rsidR="00402C25" w:rsidRPr="00E53B21">
        <w:rPr>
          <w:rFonts w:ascii="Times New Roman" w:hAnsi="Times New Roman" w:cs="Times New Roman"/>
          <w:iCs/>
          <w:u w:val="single"/>
        </w:rPr>
        <w:t xml:space="preserve">« casier à </w:t>
      </w:r>
      <w:proofErr w:type="spellStart"/>
      <w:r w:rsidR="00402C25" w:rsidRPr="00E53B21">
        <w:rPr>
          <w:rFonts w:ascii="Times New Roman" w:hAnsi="Times New Roman" w:cs="Times New Roman"/>
          <w:iCs/>
          <w:u w:val="single"/>
        </w:rPr>
        <w:t>entrée</w:t>
      </w:r>
      <w:proofErr w:type="spellEnd"/>
      <w:r w:rsidR="00402C25" w:rsidRPr="00E53B21">
        <w:rPr>
          <w:rFonts w:ascii="Times New Roman" w:hAnsi="Times New Roman" w:cs="Times New Roman"/>
          <w:iCs/>
          <w:u w:val="single"/>
        </w:rPr>
        <w:t xml:space="preserve">(s) latérale(s) » </w:t>
      </w:r>
      <w:r w:rsidR="00402C25" w:rsidRPr="00E53B21">
        <w:rPr>
          <w:rFonts w:ascii="Times New Roman" w:hAnsi="Times New Roman" w:cs="Times New Roman"/>
          <w:iCs/>
        </w:rPr>
        <w:t xml:space="preserve">et défini précédemment. Le GT crustacé réunit </w:t>
      </w:r>
      <w:r w:rsidR="00605052" w:rsidRPr="00E53B21">
        <w:rPr>
          <w:rFonts w:ascii="Times New Roman" w:hAnsi="Times New Roman" w:cs="Times New Roman"/>
          <w:iCs/>
        </w:rPr>
        <w:t xml:space="preserve">à deux reprises sur ce sujet </w:t>
      </w:r>
      <w:r w:rsidR="00402C25" w:rsidRPr="00E53B21">
        <w:rPr>
          <w:rFonts w:ascii="Times New Roman" w:hAnsi="Times New Roman" w:cs="Times New Roman"/>
          <w:iCs/>
        </w:rPr>
        <w:t>a réaffirmé sa volonté de maintenir l’interdiction de l’usage des casiers parloirs en Bretagne mais a proposé de créer un timbre à titre expérimental pour tester l’usage de ce casier spécifique</w:t>
      </w:r>
      <w:r w:rsidR="004E64B7" w:rsidRPr="00E53B21">
        <w:rPr>
          <w:rFonts w:ascii="Times New Roman" w:hAnsi="Times New Roman" w:cs="Times New Roman"/>
          <w:iCs/>
        </w:rPr>
        <w:t xml:space="preserve"> sur deux années</w:t>
      </w:r>
      <w:r w:rsidR="00402C25" w:rsidRPr="00E53B21">
        <w:rPr>
          <w:rFonts w:ascii="Times New Roman" w:hAnsi="Times New Roman" w:cs="Times New Roman"/>
          <w:iCs/>
        </w:rPr>
        <w:t xml:space="preserve">, </w:t>
      </w:r>
      <w:r w:rsidR="00864ABD" w:rsidRPr="00E53B21">
        <w:rPr>
          <w:rFonts w:ascii="Times New Roman" w:hAnsi="Times New Roman" w:cs="Times New Roman"/>
          <w:iCs/>
        </w:rPr>
        <w:t xml:space="preserve">avec un suivi scientifique, </w:t>
      </w:r>
      <w:r w:rsidR="00402C25" w:rsidRPr="00E53B21">
        <w:rPr>
          <w:rFonts w:ascii="Times New Roman" w:hAnsi="Times New Roman" w:cs="Times New Roman"/>
          <w:iCs/>
        </w:rPr>
        <w:t>uniquement dans les eaux territoriales situées au large du Morbihan.</w:t>
      </w:r>
      <w:r w:rsidR="00864ABD" w:rsidRPr="00E53B21">
        <w:rPr>
          <w:rFonts w:ascii="Times New Roman" w:hAnsi="Times New Roman" w:cs="Times New Roman"/>
          <w:iCs/>
        </w:rPr>
        <w:t xml:space="preserve"> Le projet de délibération fixe donc la définition et les critères d’attribution d</w:t>
      </w:r>
      <w:r w:rsidR="004E64B7" w:rsidRPr="00E53B21">
        <w:rPr>
          <w:rFonts w:ascii="Times New Roman" w:hAnsi="Times New Roman" w:cs="Times New Roman"/>
          <w:iCs/>
        </w:rPr>
        <w:t>’un timbre permettant l’usage de ce</w:t>
      </w:r>
      <w:r w:rsidR="00864ABD" w:rsidRPr="00E53B21">
        <w:rPr>
          <w:rFonts w:ascii="Times New Roman" w:hAnsi="Times New Roman" w:cs="Times New Roman"/>
          <w:iCs/>
        </w:rPr>
        <w:t xml:space="preserve"> casier spécifique</w:t>
      </w:r>
      <w:r w:rsidR="004E64B7" w:rsidRPr="00E53B21">
        <w:rPr>
          <w:rFonts w:ascii="Times New Roman" w:hAnsi="Times New Roman" w:cs="Times New Roman"/>
          <w:iCs/>
        </w:rPr>
        <w:t xml:space="preserve"> à titre expérimental.</w:t>
      </w:r>
      <w:r w:rsidR="00864ABD" w:rsidRPr="00E53B21">
        <w:rPr>
          <w:rFonts w:ascii="Times New Roman" w:hAnsi="Times New Roman" w:cs="Times New Roman"/>
          <w:iCs/>
        </w:rPr>
        <w:t xml:space="preserve"> </w:t>
      </w:r>
    </w:p>
    <w:p w14:paraId="1FEE769D" w14:textId="043A2F6B" w:rsidR="00864ABD" w:rsidRPr="00E53B21" w:rsidRDefault="00864ABD" w:rsidP="005D0CDB">
      <w:pPr>
        <w:jc w:val="both"/>
        <w:rPr>
          <w:rFonts w:ascii="Times New Roman" w:hAnsi="Times New Roman" w:cs="Times New Roman"/>
          <w:iCs/>
        </w:rPr>
      </w:pPr>
      <w:r w:rsidRPr="00E53B21">
        <w:rPr>
          <w:rFonts w:ascii="Times New Roman" w:hAnsi="Times New Roman" w:cs="Times New Roman"/>
          <w:iCs/>
        </w:rPr>
        <w:t xml:space="preserve">Un contingent sera fixé dans la délibération Crustacé B. Il est proposé de limiter l’accès à ce timbre aux navires de 12m LHT maximum et ciblant le homard </w:t>
      </w:r>
      <w:r w:rsidR="009119B1" w:rsidRPr="00E53B21">
        <w:rPr>
          <w:rFonts w:ascii="Times New Roman" w:hAnsi="Times New Roman" w:cs="Times New Roman"/>
          <w:iCs/>
        </w:rPr>
        <w:t xml:space="preserve">au casier (antériorité évaluée sur la base des captures de homard en 2016, 2017 et 2018 sur les zones CIEM 24 E6, 24 E7, 23 E6 et 23 E7). </w:t>
      </w:r>
      <w:r w:rsidR="005F0C28" w:rsidRPr="00E53B21">
        <w:rPr>
          <w:rFonts w:ascii="Times New Roman" w:hAnsi="Times New Roman" w:cs="Times New Roman"/>
          <w:iCs/>
        </w:rPr>
        <w:t>La définition des antériorités nécessaires pour prétendre à ce timbre est différente pour les titulaires de la licence canot et crustacé</w:t>
      </w:r>
      <w:r w:rsidR="0044467B">
        <w:rPr>
          <w:rFonts w:ascii="Times New Roman" w:hAnsi="Times New Roman" w:cs="Times New Roman"/>
          <w:iCs/>
        </w:rPr>
        <w:t xml:space="preserve"> en raison de la limitation du nombre de casiers imposée aux titulaires de la licence canot</w:t>
      </w:r>
      <w:r w:rsidR="005347D5">
        <w:rPr>
          <w:rFonts w:ascii="Times New Roman" w:hAnsi="Times New Roman" w:cs="Times New Roman"/>
          <w:iCs/>
        </w:rPr>
        <w:t xml:space="preserve"> et crustacé en raison de la limitation du nombre de casiers imposée aux titulaires de la licence canot</w:t>
      </w:r>
      <w:bookmarkStart w:id="0" w:name="_GoBack"/>
      <w:bookmarkEnd w:id="0"/>
      <w:r w:rsidR="005F0C28" w:rsidRPr="00E53B21">
        <w:rPr>
          <w:rFonts w:ascii="Times New Roman" w:hAnsi="Times New Roman" w:cs="Times New Roman"/>
          <w:iCs/>
        </w:rPr>
        <w:t xml:space="preserve">. </w:t>
      </w:r>
      <w:r w:rsidRPr="00E53B21">
        <w:rPr>
          <w:rFonts w:ascii="Times New Roman" w:hAnsi="Times New Roman" w:cs="Times New Roman"/>
          <w:iCs/>
        </w:rPr>
        <w:t xml:space="preserve">L’accès à ce timbre est réservé aux titulaires de la licence </w:t>
      </w:r>
      <w:proofErr w:type="gramStart"/>
      <w:r w:rsidR="00905022" w:rsidRPr="00E53B21">
        <w:rPr>
          <w:rFonts w:ascii="Times New Roman" w:hAnsi="Times New Roman" w:cs="Times New Roman"/>
          <w:iCs/>
        </w:rPr>
        <w:t>crustacé</w:t>
      </w:r>
      <w:proofErr w:type="gramEnd"/>
      <w:r w:rsidR="00905022" w:rsidRPr="00E53B21">
        <w:rPr>
          <w:rFonts w:ascii="Times New Roman" w:hAnsi="Times New Roman" w:cs="Times New Roman"/>
          <w:iCs/>
        </w:rPr>
        <w:t xml:space="preserve"> délivrée par le CRPMEM de Bretagne.</w:t>
      </w:r>
    </w:p>
    <w:p w14:paraId="0C9DA5A9" w14:textId="1A493775" w:rsidR="005D0CDB" w:rsidRPr="00E53B21" w:rsidRDefault="00864ABD" w:rsidP="005D0CDB">
      <w:pPr>
        <w:jc w:val="both"/>
        <w:rPr>
          <w:rFonts w:ascii="Times New Roman" w:hAnsi="Times New Roman" w:cs="Times New Roman"/>
          <w:iCs/>
        </w:rPr>
      </w:pPr>
      <w:r w:rsidRPr="00E53B21">
        <w:rPr>
          <w:rFonts w:ascii="Times New Roman" w:hAnsi="Times New Roman" w:cs="Times New Roman"/>
          <w:iCs/>
        </w:rPr>
        <w:t xml:space="preserve">Les modifications suivantes sont donc intégrées : </w:t>
      </w:r>
    </w:p>
    <w:p w14:paraId="580DF30D" w14:textId="77777777" w:rsidR="005F0C28" w:rsidRPr="00E53B21" w:rsidRDefault="005F0C28" w:rsidP="005F0C28">
      <w:pPr>
        <w:jc w:val="both"/>
        <w:rPr>
          <w:rFonts w:ascii="Times New Roman" w:hAnsi="Times New Roman" w:cs="Times New Roman"/>
          <w:b/>
          <w:bCs/>
          <w:i/>
          <w:iCs/>
        </w:rPr>
      </w:pPr>
      <w:bookmarkStart w:id="1" w:name="_Hlk27553161"/>
    </w:p>
    <w:p w14:paraId="7461C6A9" w14:textId="2A322E8A" w:rsidR="005F0C28" w:rsidRPr="00E53B21" w:rsidRDefault="005F0C28" w:rsidP="005F0C28">
      <w:pPr>
        <w:jc w:val="both"/>
        <w:rPr>
          <w:rFonts w:ascii="Times New Roman" w:hAnsi="Times New Roman" w:cs="Times New Roman"/>
          <w:b/>
          <w:bCs/>
          <w:i/>
          <w:iCs/>
        </w:rPr>
      </w:pPr>
      <w:r w:rsidRPr="00E53B21">
        <w:rPr>
          <w:rFonts w:ascii="Times New Roman" w:hAnsi="Times New Roman" w:cs="Times New Roman"/>
          <w:b/>
          <w:bCs/>
          <w:i/>
          <w:iCs/>
        </w:rPr>
        <w:t xml:space="preserve">4.2 Modalité d’attribution du timbre « casier à </w:t>
      </w:r>
      <w:proofErr w:type="spellStart"/>
      <w:r w:rsidRPr="00E53B21">
        <w:rPr>
          <w:rFonts w:ascii="Times New Roman" w:hAnsi="Times New Roman" w:cs="Times New Roman"/>
          <w:b/>
          <w:bCs/>
          <w:i/>
          <w:iCs/>
        </w:rPr>
        <w:t>entrée</w:t>
      </w:r>
      <w:proofErr w:type="spellEnd"/>
      <w:r w:rsidRPr="00E53B21">
        <w:rPr>
          <w:rFonts w:ascii="Times New Roman" w:hAnsi="Times New Roman" w:cs="Times New Roman"/>
          <w:b/>
          <w:bCs/>
          <w:i/>
          <w:iCs/>
        </w:rPr>
        <w:t>(s) latérale(s) » dans les eaux territoriales situées au large du Morbihan</w:t>
      </w:r>
      <w:bookmarkEnd w:id="1"/>
    </w:p>
    <w:p w14:paraId="660F49B0" w14:textId="77777777" w:rsidR="005F0C28" w:rsidRPr="00E53B21" w:rsidRDefault="005F0C28" w:rsidP="005F0C28">
      <w:pPr>
        <w:jc w:val="both"/>
        <w:rPr>
          <w:rFonts w:ascii="Times New Roman" w:hAnsi="Times New Roman" w:cs="Times New Roman"/>
          <w:i/>
          <w:iCs/>
        </w:rPr>
      </w:pPr>
      <w:bookmarkStart w:id="2" w:name="_Hlk27553178"/>
      <w:r w:rsidRPr="00E53B21">
        <w:rPr>
          <w:rFonts w:ascii="Times New Roman" w:hAnsi="Times New Roman" w:cs="Times New Roman"/>
          <w:i/>
          <w:iCs/>
        </w:rPr>
        <w:t xml:space="preserve">Le timbre défini à l’article 1 de la présente délibération ne peut être attribué qu’aux demandeurs éligibles à l’obtention de la licence crustacé au regard du point 4.1 du présent article et pouvant justifier des antériorités de pêche suivantes : </w:t>
      </w:r>
    </w:p>
    <w:p w14:paraId="738ACE5C" w14:textId="77777777" w:rsidR="005F0C28" w:rsidRPr="00E53B21" w:rsidRDefault="005F0C28" w:rsidP="005F0C28">
      <w:pPr>
        <w:jc w:val="both"/>
        <w:rPr>
          <w:rFonts w:ascii="Times New Roman" w:hAnsi="Times New Roman" w:cs="Times New Roman"/>
          <w:i/>
          <w:iCs/>
        </w:rPr>
      </w:pPr>
      <w:r w:rsidRPr="00E53B21">
        <w:rPr>
          <w:rFonts w:ascii="Times New Roman" w:hAnsi="Times New Roman" w:cs="Times New Roman"/>
          <w:i/>
          <w:iCs/>
        </w:rPr>
        <w:t>Pour les titulaires de la licence Crustacés :</w:t>
      </w:r>
    </w:p>
    <w:p w14:paraId="2F1B8F11" w14:textId="77777777" w:rsidR="005F0C28" w:rsidRPr="00E53B21" w:rsidRDefault="005F0C28" w:rsidP="005F0C28">
      <w:pPr>
        <w:numPr>
          <w:ilvl w:val="0"/>
          <w:numId w:val="11"/>
        </w:numPr>
        <w:spacing w:after="0" w:line="240" w:lineRule="auto"/>
        <w:jc w:val="both"/>
        <w:rPr>
          <w:rFonts w:ascii="Times New Roman" w:hAnsi="Times New Roman" w:cs="Times New Roman"/>
          <w:i/>
          <w:iCs/>
        </w:rPr>
      </w:pPr>
      <w:bookmarkStart w:id="3" w:name="_Hlk27553619"/>
      <w:r w:rsidRPr="00E53B21">
        <w:rPr>
          <w:rFonts w:ascii="Times New Roman" w:hAnsi="Times New Roman" w:cs="Times New Roman"/>
          <w:i/>
          <w:iCs/>
        </w:rPr>
        <w:lastRenderedPageBreak/>
        <w:t>Captures de homard (LBE) au casier (FPO) sur au moins 6 mois de l’année et d’un minimum de 100 kg de homard (LBE) au casier (FPO) sur 4 mois de l’année durant les années 2016, 1017 et 2018, sur les zones CIEM 24 E6, 24 E7, 23 E6 et 23 E7. Les deux conditions sont cumulatives.</w:t>
      </w:r>
    </w:p>
    <w:bookmarkEnd w:id="3"/>
    <w:p w14:paraId="4F4C4B87" w14:textId="77777777" w:rsidR="005F0C28" w:rsidRPr="00E53B21" w:rsidRDefault="005F0C28" w:rsidP="005F0C28">
      <w:pPr>
        <w:numPr>
          <w:ilvl w:val="0"/>
          <w:numId w:val="11"/>
        </w:numPr>
        <w:spacing w:after="0" w:line="240" w:lineRule="auto"/>
        <w:jc w:val="both"/>
        <w:rPr>
          <w:rFonts w:ascii="Times New Roman" w:hAnsi="Times New Roman" w:cs="Times New Roman"/>
          <w:i/>
          <w:iCs/>
        </w:rPr>
      </w:pPr>
      <w:r w:rsidRPr="00E53B21">
        <w:rPr>
          <w:rFonts w:ascii="Times New Roman" w:hAnsi="Times New Roman" w:cs="Times New Roman"/>
          <w:i/>
          <w:iCs/>
        </w:rPr>
        <w:t xml:space="preserve">L’antériorité sera </w:t>
      </w:r>
      <w:proofErr w:type="gramStart"/>
      <w:r w:rsidRPr="00E53B21">
        <w:rPr>
          <w:rFonts w:ascii="Times New Roman" w:hAnsi="Times New Roman" w:cs="Times New Roman"/>
          <w:i/>
          <w:iCs/>
        </w:rPr>
        <w:t>qualifié</w:t>
      </w:r>
      <w:proofErr w:type="gramEnd"/>
      <w:r w:rsidRPr="00E53B21">
        <w:rPr>
          <w:rFonts w:ascii="Times New Roman" w:hAnsi="Times New Roman" w:cs="Times New Roman"/>
          <w:i/>
          <w:iCs/>
        </w:rPr>
        <w:t xml:space="preserve"> par la fourniture des fiches de pêches correspondantes au CPRMEM de Bretagne.</w:t>
      </w:r>
    </w:p>
    <w:p w14:paraId="3CFA5767" w14:textId="77777777" w:rsidR="005F0C28" w:rsidRPr="00E53B21" w:rsidRDefault="005F0C28" w:rsidP="005F0C28">
      <w:pPr>
        <w:numPr>
          <w:ilvl w:val="0"/>
          <w:numId w:val="11"/>
        </w:numPr>
        <w:spacing w:after="0" w:line="240" w:lineRule="auto"/>
        <w:jc w:val="both"/>
        <w:rPr>
          <w:rFonts w:ascii="Times New Roman" w:hAnsi="Times New Roman" w:cs="Times New Roman"/>
          <w:i/>
          <w:iCs/>
        </w:rPr>
      </w:pPr>
      <w:r w:rsidRPr="00E53B21">
        <w:rPr>
          <w:rFonts w:ascii="Times New Roman" w:hAnsi="Times New Roman" w:cs="Times New Roman"/>
          <w:i/>
          <w:iCs/>
        </w:rPr>
        <w:t>Les cas de force majeur pourront être pris en compte dans l’évaluation des périodes d’antériorités, sur présentation des justificatifs correspondant.</w:t>
      </w:r>
    </w:p>
    <w:p w14:paraId="6AF7F0B1" w14:textId="77777777" w:rsidR="005F0C28" w:rsidRPr="00E53B21" w:rsidRDefault="005F0C28" w:rsidP="005F0C28">
      <w:pPr>
        <w:jc w:val="both"/>
        <w:rPr>
          <w:rFonts w:ascii="Times New Roman" w:hAnsi="Times New Roman" w:cs="Times New Roman"/>
          <w:i/>
          <w:iCs/>
          <w:sz w:val="25"/>
          <w:szCs w:val="25"/>
        </w:rPr>
      </w:pPr>
    </w:p>
    <w:p w14:paraId="44D9B42E" w14:textId="77777777" w:rsidR="005F0C28" w:rsidRPr="00E53B21" w:rsidRDefault="005F0C28" w:rsidP="005F0C28">
      <w:pPr>
        <w:jc w:val="both"/>
        <w:rPr>
          <w:rFonts w:ascii="Times New Roman" w:hAnsi="Times New Roman" w:cs="Times New Roman"/>
          <w:i/>
          <w:iCs/>
        </w:rPr>
      </w:pPr>
      <w:r w:rsidRPr="00E53B21">
        <w:rPr>
          <w:rFonts w:ascii="Times New Roman" w:hAnsi="Times New Roman" w:cs="Times New Roman"/>
          <w:i/>
          <w:iCs/>
        </w:rPr>
        <w:t xml:space="preserve">Pour les titulaires de la licence Canot : </w:t>
      </w:r>
    </w:p>
    <w:p w14:paraId="6EE2288B" w14:textId="77777777" w:rsidR="005F0C28" w:rsidRPr="00E53B21" w:rsidRDefault="005F0C28" w:rsidP="005F0C28">
      <w:pPr>
        <w:numPr>
          <w:ilvl w:val="0"/>
          <w:numId w:val="11"/>
        </w:numPr>
        <w:spacing w:after="0" w:line="240" w:lineRule="auto"/>
        <w:jc w:val="both"/>
        <w:rPr>
          <w:rFonts w:ascii="Times New Roman" w:hAnsi="Times New Roman" w:cs="Times New Roman"/>
          <w:i/>
          <w:iCs/>
        </w:rPr>
      </w:pPr>
      <w:r w:rsidRPr="00E53B21">
        <w:rPr>
          <w:rFonts w:ascii="Times New Roman" w:hAnsi="Times New Roman" w:cs="Times New Roman"/>
          <w:i/>
          <w:iCs/>
        </w:rPr>
        <w:t>Captures de homard (LBE) au casier (FPO) sur au moins 5 mois de l’année et d’un minimum de 100 kg de homard (LBE) au casier (FPO) sur 4 mois de l’année durant les années 2016, 1017 et 2018, sur les zones CIEM 24 E6, 24 E7, 23 E6 et 23 E7. Les deux conditions sont cumulatives.</w:t>
      </w:r>
    </w:p>
    <w:p w14:paraId="753A428C" w14:textId="77777777" w:rsidR="005F0C28" w:rsidRPr="00E53B21" w:rsidRDefault="005F0C28" w:rsidP="005F0C28">
      <w:pPr>
        <w:numPr>
          <w:ilvl w:val="0"/>
          <w:numId w:val="11"/>
        </w:numPr>
        <w:spacing w:after="0" w:line="240" w:lineRule="auto"/>
        <w:jc w:val="both"/>
        <w:rPr>
          <w:rFonts w:ascii="Times New Roman" w:hAnsi="Times New Roman" w:cs="Times New Roman"/>
          <w:i/>
          <w:iCs/>
        </w:rPr>
      </w:pPr>
      <w:r w:rsidRPr="00E53B21">
        <w:rPr>
          <w:rFonts w:ascii="Times New Roman" w:hAnsi="Times New Roman" w:cs="Times New Roman"/>
          <w:i/>
          <w:iCs/>
        </w:rPr>
        <w:t xml:space="preserve">L’antériorité sera </w:t>
      </w:r>
      <w:proofErr w:type="gramStart"/>
      <w:r w:rsidRPr="00E53B21">
        <w:rPr>
          <w:rFonts w:ascii="Times New Roman" w:hAnsi="Times New Roman" w:cs="Times New Roman"/>
          <w:i/>
          <w:iCs/>
        </w:rPr>
        <w:t>qualifié</w:t>
      </w:r>
      <w:proofErr w:type="gramEnd"/>
      <w:r w:rsidRPr="00E53B21">
        <w:rPr>
          <w:rFonts w:ascii="Times New Roman" w:hAnsi="Times New Roman" w:cs="Times New Roman"/>
          <w:i/>
          <w:iCs/>
        </w:rPr>
        <w:t xml:space="preserve"> par la fourniture des fiches de pêches correspondantes au CPRMEM de Bretagne.</w:t>
      </w:r>
    </w:p>
    <w:p w14:paraId="61CC3FFB" w14:textId="60D9E9D7" w:rsidR="005F0C28" w:rsidRPr="00E53B21" w:rsidRDefault="005F0C28" w:rsidP="005F0C28">
      <w:pPr>
        <w:numPr>
          <w:ilvl w:val="0"/>
          <w:numId w:val="11"/>
        </w:numPr>
        <w:spacing w:after="0" w:line="240" w:lineRule="auto"/>
        <w:jc w:val="both"/>
        <w:rPr>
          <w:rFonts w:ascii="Times New Roman" w:hAnsi="Times New Roman" w:cs="Times New Roman"/>
          <w:i/>
          <w:iCs/>
        </w:rPr>
      </w:pPr>
      <w:r w:rsidRPr="00E53B21">
        <w:rPr>
          <w:rFonts w:ascii="Times New Roman" w:hAnsi="Times New Roman" w:cs="Times New Roman"/>
          <w:i/>
          <w:iCs/>
        </w:rPr>
        <w:t>Les cas de force majeur pourront être pris en compte dans l’évaluation des périodes d’antériorités, sur présentation des justificatifs correspondant.</w:t>
      </w:r>
    </w:p>
    <w:p w14:paraId="22ECCED9" w14:textId="77777777" w:rsidR="005F0C28" w:rsidRPr="00E53B21" w:rsidRDefault="005F0C28" w:rsidP="0044467B">
      <w:pPr>
        <w:spacing w:after="0" w:line="240" w:lineRule="auto"/>
        <w:ind w:left="360"/>
        <w:jc w:val="both"/>
        <w:rPr>
          <w:rFonts w:ascii="Times New Roman" w:hAnsi="Times New Roman" w:cs="Times New Roman"/>
          <w:i/>
          <w:iCs/>
        </w:rPr>
      </w:pPr>
    </w:p>
    <w:p w14:paraId="73BF7059" w14:textId="77777777" w:rsidR="005F0C28" w:rsidRPr="00E53B21" w:rsidRDefault="005F0C28" w:rsidP="005F0C28">
      <w:pPr>
        <w:jc w:val="both"/>
        <w:rPr>
          <w:rFonts w:ascii="Times New Roman" w:hAnsi="Times New Roman" w:cs="Times New Roman"/>
          <w:b/>
          <w:bCs/>
          <w:i/>
          <w:iCs/>
          <w:u w:val="single"/>
        </w:rPr>
      </w:pPr>
      <w:r w:rsidRPr="00E53B21">
        <w:rPr>
          <w:rFonts w:ascii="Times New Roman" w:hAnsi="Times New Roman" w:cs="Times New Roman"/>
          <w:b/>
          <w:bCs/>
          <w:i/>
          <w:iCs/>
          <w:u w:val="single"/>
        </w:rPr>
        <w:t>Au titre de l’antériorité de pêche</w:t>
      </w:r>
    </w:p>
    <w:p w14:paraId="22F9ED01" w14:textId="77777777" w:rsidR="005F0C28" w:rsidRPr="00E53B21" w:rsidRDefault="005F0C28" w:rsidP="005F0C28">
      <w:pPr>
        <w:jc w:val="both"/>
        <w:rPr>
          <w:rFonts w:ascii="Times New Roman" w:hAnsi="Times New Roman" w:cs="Times New Roman"/>
          <w:i/>
          <w:iCs/>
        </w:rPr>
      </w:pPr>
      <w:r w:rsidRPr="00E53B21">
        <w:rPr>
          <w:rFonts w:ascii="Times New Roman" w:hAnsi="Times New Roman" w:cs="Times New Roman"/>
          <w:i/>
          <w:iCs/>
        </w:rPr>
        <w:t xml:space="preserve">4.2.1 Si le nombre de demandes de timbre est supérieur au contingent fixé par le CRPMEM, les priorités d'attribution sont les suivantes : </w:t>
      </w:r>
    </w:p>
    <w:p w14:paraId="69060A24" w14:textId="77777777" w:rsidR="005F0C28" w:rsidRPr="00E53B21" w:rsidRDefault="005F0C28" w:rsidP="005F0C28">
      <w:pPr>
        <w:jc w:val="both"/>
        <w:rPr>
          <w:rFonts w:ascii="Times New Roman" w:hAnsi="Times New Roman" w:cs="Times New Roman"/>
          <w:i/>
          <w:iCs/>
        </w:rPr>
      </w:pPr>
      <w:r w:rsidRPr="00E53B21">
        <w:rPr>
          <w:rFonts w:ascii="Times New Roman" w:hAnsi="Times New Roman" w:cs="Times New Roman"/>
          <w:i/>
          <w:iCs/>
        </w:rPr>
        <w:t>Demandeur ayant déclaré des captures de homard (LBE) au casier (FPO) durant le plus grand nombre de mois sur les années 2016, 2017 et 2018.</w:t>
      </w:r>
    </w:p>
    <w:p w14:paraId="45ED60DC" w14:textId="77777777" w:rsidR="005F0C28" w:rsidRPr="00E53B21" w:rsidRDefault="005F0C28" w:rsidP="005F0C28">
      <w:pPr>
        <w:jc w:val="both"/>
        <w:rPr>
          <w:rFonts w:ascii="Times New Roman" w:hAnsi="Times New Roman" w:cs="Times New Roman"/>
          <w:b/>
          <w:bCs/>
          <w:i/>
          <w:iCs/>
          <w:u w:val="single"/>
        </w:rPr>
      </w:pPr>
      <w:r w:rsidRPr="00E53B21">
        <w:rPr>
          <w:rFonts w:ascii="Times New Roman" w:hAnsi="Times New Roman" w:cs="Times New Roman"/>
          <w:b/>
          <w:bCs/>
          <w:i/>
          <w:iCs/>
          <w:u w:val="single"/>
        </w:rPr>
        <w:t>Au titre des critères socioéconomiques </w:t>
      </w:r>
    </w:p>
    <w:p w14:paraId="0F90F1F4" w14:textId="77777777" w:rsidR="005F0C28" w:rsidRPr="00E53B21" w:rsidRDefault="005F0C28" w:rsidP="005F0C28">
      <w:pPr>
        <w:jc w:val="both"/>
        <w:rPr>
          <w:rFonts w:ascii="Times New Roman" w:hAnsi="Times New Roman" w:cs="Times New Roman"/>
          <w:i/>
          <w:iCs/>
        </w:rPr>
      </w:pPr>
      <w:r w:rsidRPr="00E53B21">
        <w:rPr>
          <w:rFonts w:ascii="Times New Roman" w:hAnsi="Times New Roman" w:cs="Times New Roman"/>
          <w:i/>
          <w:iCs/>
        </w:rPr>
        <w:t xml:space="preserve">Le timbre prévu à l'article 1 ne peut être délivrée qu'aux navires ayant une longueur hors tout inférieure ou égale à 12 mètres. </w:t>
      </w:r>
    </w:p>
    <w:bookmarkEnd w:id="2"/>
    <w:p w14:paraId="469EDF47" w14:textId="77777777" w:rsidR="005F0C28" w:rsidRPr="00E53B21" w:rsidRDefault="005F0C28" w:rsidP="005F0C28">
      <w:pPr>
        <w:jc w:val="both"/>
        <w:rPr>
          <w:rFonts w:ascii="Times New Roman" w:hAnsi="Times New Roman" w:cs="Times New Roman"/>
        </w:rPr>
      </w:pPr>
    </w:p>
    <w:p w14:paraId="16E903B6" w14:textId="77777777" w:rsidR="005D0CDB" w:rsidRPr="00E53B21" w:rsidRDefault="005D0CDB" w:rsidP="005D0CDB">
      <w:pPr>
        <w:jc w:val="both"/>
        <w:rPr>
          <w:rFonts w:ascii="Times New Roman" w:hAnsi="Times New Roman" w:cs="Times New Roman"/>
          <w:bCs/>
          <w:i/>
        </w:rPr>
      </w:pPr>
    </w:p>
    <w:p w14:paraId="1C9C70C7" w14:textId="2B73E9DC" w:rsidR="0090731F" w:rsidRPr="00E53B21" w:rsidRDefault="0090731F" w:rsidP="00E53B21">
      <w:pPr>
        <w:pBdr>
          <w:top w:val="single" w:sz="4" w:space="1" w:color="000000"/>
          <w:left w:val="single" w:sz="4" w:space="4" w:color="000000"/>
          <w:bottom w:val="single" w:sz="4" w:space="1" w:color="000000"/>
          <w:right w:val="single" w:sz="4" w:space="4" w:color="000000"/>
        </w:pBdr>
        <w:spacing w:before="57" w:after="57"/>
        <w:ind w:firstLine="357"/>
        <w:jc w:val="both"/>
        <w:rPr>
          <w:rFonts w:ascii="Times New Roman" w:hAnsi="Times New Roman" w:cs="Times New Roman"/>
        </w:rPr>
      </w:pPr>
      <w:r w:rsidRPr="00E53B21">
        <w:rPr>
          <w:rFonts w:ascii="Times New Roman" w:hAnsi="Times New Roman" w:cs="Times New Roman"/>
        </w:rPr>
        <w:t xml:space="preserve">Le projet d’arrêté est consultable </w:t>
      </w:r>
      <w:r w:rsidRPr="007D7156">
        <w:rPr>
          <w:rFonts w:ascii="Times New Roman" w:hAnsi="Times New Roman" w:cs="Times New Roman"/>
          <w:b/>
        </w:rPr>
        <w:t xml:space="preserve">du </w:t>
      </w:r>
      <w:r w:rsidR="00E53B21" w:rsidRPr="007D7156">
        <w:rPr>
          <w:rFonts w:ascii="Times New Roman" w:hAnsi="Times New Roman" w:cs="Times New Roman"/>
          <w:b/>
        </w:rPr>
        <w:t>21 février au 12 mars 2020</w:t>
      </w:r>
      <w:r w:rsidRPr="007D7156">
        <w:rPr>
          <w:rFonts w:ascii="Times New Roman" w:hAnsi="Times New Roman" w:cs="Times New Roman"/>
          <w:b/>
        </w:rPr>
        <w:t xml:space="preserve"> inclus.</w:t>
      </w:r>
    </w:p>
    <w:p w14:paraId="389F3CAA" w14:textId="77777777" w:rsidR="0090731F" w:rsidRPr="00E53B21" w:rsidRDefault="0090731F" w:rsidP="00E53B21">
      <w:pPr>
        <w:pBdr>
          <w:top w:val="single" w:sz="4" w:space="1" w:color="000000"/>
          <w:left w:val="single" w:sz="4" w:space="4" w:color="000000"/>
          <w:bottom w:val="single" w:sz="4" w:space="1" w:color="000000"/>
          <w:right w:val="single" w:sz="4" w:space="4" w:color="000000"/>
        </w:pBdr>
        <w:spacing w:before="57" w:after="57"/>
        <w:jc w:val="both"/>
        <w:rPr>
          <w:rFonts w:ascii="Times New Roman" w:hAnsi="Times New Roman" w:cs="Times New Roman"/>
        </w:rPr>
      </w:pPr>
      <w:r w:rsidRPr="00E53B21">
        <w:rPr>
          <w:rFonts w:ascii="Times New Roman" w:hAnsi="Times New Roman" w:cs="Times New Roman"/>
        </w:rPr>
        <w:t xml:space="preserve">Il est également consultable sur support papier en prenant rendez-vous au 02 90 02 69 50 (09h00 – 12h00 / 14h00 – 16h30). </w:t>
      </w:r>
    </w:p>
    <w:p w14:paraId="4FE70C57" w14:textId="5B2759FC" w:rsidR="0090731F" w:rsidRPr="00E53B21" w:rsidRDefault="0090731F" w:rsidP="00E53B21">
      <w:pPr>
        <w:pBdr>
          <w:top w:val="single" w:sz="4" w:space="1" w:color="000000"/>
          <w:left w:val="single" w:sz="4" w:space="4" w:color="000000"/>
          <w:bottom w:val="single" w:sz="4" w:space="1" w:color="000000"/>
          <w:right w:val="single" w:sz="4" w:space="4" w:color="000000"/>
        </w:pBdr>
        <w:spacing w:before="57" w:after="57"/>
        <w:ind w:firstLine="357"/>
        <w:jc w:val="both"/>
        <w:rPr>
          <w:rFonts w:ascii="Times New Roman" w:hAnsi="Times New Roman" w:cs="Times New Roman"/>
        </w:rPr>
      </w:pPr>
      <w:r w:rsidRPr="00E53B21">
        <w:rPr>
          <w:rFonts w:ascii="Times New Roman" w:hAnsi="Times New Roman" w:cs="Times New Roman"/>
        </w:rPr>
        <w:t xml:space="preserve">Les observations peuvent parvenir à la direction interrégionale de la mer Nord Atlantique – Manche Ouest </w:t>
      </w:r>
      <w:r w:rsidRPr="007D7156">
        <w:rPr>
          <w:rFonts w:ascii="Times New Roman" w:hAnsi="Times New Roman" w:cs="Times New Roman"/>
          <w:b/>
        </w:rPr>
        <w:t xml:space="preserve">jusqu’au </w:t>
      </w:r>
      <w:r w:rsidR="00E53B21" w:rsidRPr="007D7156">
        <w:rPr>
          <w:rFonts w:ascii="Times New Roman" w:hAnsi="Times New Roman" w:cs="Times New Roman"/>
          <w:b/>
        </w:rPr>
        <w:t xml:space="preserve">12 mars 2020 </w:t>
      </w:r>
      <w:r w:rsidR="00254A3D" w:rsidRPr="007D7156">
        <w:rPr>
          <w:rFonts w:ascii="Times New Roman" w:hAnsi="Times New Roman" w:cs="Times New Roman"/>
          <w:b/>
        </w:rPr>
        <w:t>inclus</w:t>
      </w:r>
      <w:r w:rsidRPr="00E53B21">
        <w:rPr>
          <w:rFonts w:ascii="Times New Roman" w:hAnsi="Times New Roman" w:cs="Times New Roman"/>
        </w:rPr>
        <w:t xml:space="preserve"> et peuvent être déposées :</w:t>
      </w:r>
    </w:p>
    <w:p w14:paraId="6DD1437D" w14:textId="7B42B66A" w:rsidR="0090731F" w:rsidRPr="00E53B21" w:rsidRDefault="0090731F" w:rsidP="00E53B21">
      <w:pPr>
        <w:pBdr>
          <w:top w:val="single" w:sz="4" w:space="1" w:color="000000"/>
          <w:left w:val="single" w:sz="4" w:space="4" w:color="000000"/>
          <w:bottom w:val="single" w:sz="4" w:space="1" w:color="000000"/>
          <w:right w:val="single" w:sz="4" w:space="4" w:color="000000"/>
        </w:pBdr>
        <w:spacing w:before="57" w:after="57"/>
        <w:ind w:firstLine="357"/>
        <w:jc w:val="both"/>
        <w:rPr>
          <w:rFonts w:ascii="Times New Roman" w:hAnsi="Times New Roman" w:cs="Times New Roman"/>
        </w:rPr>
      </w:pPr>
      <w:r w:rsidRPr="00E53B21">
        <w:rPr>
          <w:rFonts w:ascii="Times New Roman" w:hAnsi="Times New Roman" w:cs="Times New Roman"/>
        </w:rPr>
        <w:t>– par voie électronique à urdp.dpa.dirm-namo@developpement-durable.gouv.fr en intitulant l’objet du courriel   « Consultation publique approbation</w:t>
      </w:r>
      <w:r w:rsidR="007D7156">
        <w:rPr>
          <w:rFonts w:ascii="Times New Roman" w:hAnsi="Times New Roman" w:cs="Times New Roman"/>
        </w:rPr>
        <w:t xml:space="preserve"> délibération « CRUSTACES CRPM</w:t>
      </w:r>
      <w:r w:rsidRPr="00E53B21">
        <w:rPr>
          <w:rFonts w:ascii="Times New Roman" w:hAnsi="Times New Roman" w:cs="Times New Roman"/>
        </w:rPr>
        <w:t xml:space="preserve"> A » ;</w:t>
      </w:r>
    </w:p>
    <w:p w14:paraId="1017031B" w14:textId="655F91BF" w:rsidR="0090731F" w:rsidRPr="00E53B21" w:rsidRDefault="0090731F" w:rsidP="00E53B21">
      <w:pPr>
        <w:pBdr>
          <w:top w:val="single" w:sz="4" w:space="1" w:color="000000"/>
          <w:left w:val="single" w:sz="4" w:space="4" w:color="000000"/>
          <w:bottom w:val="single" w:sz="4" w:space="1" w:color="000000"/>
          <w:right w:val="single" w:sz="4" w:space="4" w:color="000000"/>
        </w:pBdr>
        <w:spacing w:before="57" w:after="57"/>
        <w:ind w:firstLine="357"/>
        <w:jc w:val="both"/>
        <w:rPr>
          <w:rFonts w:ascii="Times New Roman" w:hAnsi="Times New Roman" w:cs="Times New Roman"/>
        </w:rPr>
      </w:pPr>
      <w:r w:rsidRPr="00E53B21">
        <w:rPr>
          <w:rFonts w:ascii="Times New Roman" w:hAnsi="Times New Roman" w:cs="Times New Roman"/>
        </w:rPr>
        <w:t xml:space="preserve">– par voie postale à la direction interrégionale de la mer Nord Atlantique – Manche Ouest, 3 avenue de la préfecture – 35026 RENNES cedex 9 en indiquant sur le courrier « Consultation publique approbation </w:t>
      </w:r>
      <w:r w:rsidR="007D7156">
        <w:rPr>
          <w:rFonts w:ascii="Times New Roman" w:hAnsi="Times New Roman" w:cs="Times New Roman"/>
        </w:rPr>
        <w:t>délibération  « CRUSTACES CRPM</w:t>
      </w:r>
      <w:r w:rsidRPr="00E53B21">
        <w:rPr>
          <w:rFonts w:ascii="Times New Roman" w:hAnsi="Times New Roman" w:cs="Times New Roman"/>
        </w:rPr>
        <w:t xml:space="preserve"> A».</w:t>
      </w:r>
    </w:p>
    <w:p w14:paraId="23A2056E" w14:textId="77777777" w:rsidR="005D0CDB" w:rsidRPr="00E53B21" w:rsidRDefault="005D0CDB" w:rsidP="005D0CDB">
      <w:pPr>
        <w:rPr>
          <w:rFonts w:ascii="Times New Roman" w:hAnsi="Times New Roman" w:cs="Times New Roman"/>
          <w:bCs/>
        </w:rPr>
      </w:pPr>
    </w:p>
    <w:p w14:paraId="6813433C" w14:textId="77777777" w:rsidR="00F21180" w:rsidRPr="00E53B21" w:rsidRDefault="00F21180" w:rsidP="00FD6482">
      <w:pPr>
        <w:rPr>
          <w:rFonts w:ascii="Times New Roman" w:hAnsi="Times New Roman" w:cs="Times New Roman"/>
          <w:bCs/>
        </w:rPr>
      </w:pPr>
    </w:p>
    <w:sectPr w:rsidR="00F21180" w:rsidRPr="00E53B21" w:rsidSect="007C16A1">
      <w:headerReference w:type="default" r:id="rId7"/>
      <w:footerReference w:type="default" r:id="rId8"/>
      <w:headerReference w:type="first" r:id="rId9"/>
      <w:footerReference w:type="first" r:id="rId10"/>
      <w:pgSz w:w="11906" w:h="16838"/>
      <w:pgMar w:top="1440" w:right="1080" w:bottom="1440" w:left="1080"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15C254" w14:textId="77777777" w:rsidR="0027277F" w:rsidRDefault="0027277F" w:rsidP="0004085D">
      <w:pPr>
        <w:spacing w:after="0" w:line="240" w:lineRule="auto"/>
      </w:pPr>
      <w:r>
        <w:separator/>
      </w:r>
    </w:p>
  </w:endnote>
  <w:endnote w:type="continuationSeparator" w:id="0">
    <w:p w14:paraId="0E7E1447" w14:textId="77777777" w:rsidR="0027277F" w:rsidRDefault="0027277F" w:rsidP="000408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9567909"/>
      <w:docPartObj>
        <w:docPartGallery w:val="Page Numbers (Bottom of Page)"/>
        <w:docPartUnique/>
      </w:docPartObj>
    </w:sdtPr>
    <w:sdtEndPr/>
    <w:sdtContent>
      <w:p w14:paraId="27B5A06E" w14:textId="77777777" w:rsidR="00E53B21" w:rsidRPr="00E53B21" w:rsidRDefault="00E53B21" w:rsidP="00E53B21">
        <w:pPr>
          <w:pBdr>
            <w:top w:val="single" w:sz="4" w:space="1" w:color="auto"/>
          </w:pBdr>
          <w:tabs>
            <w:tab w:val="center" w:pos="4536"/>
            <w:tab w:val="left" w:pos="7701"/>
            <w:tab w:val="right" w:pos="9072"/>
            <w:tab w:val="right" w:pos="9746"/>
          </w:tabs>
          <w:spacing w:after="0" w:line="240" w:lineRule="auto"/>
        </w:pPr>
        <w:r w:rsidRPr="00E53B21">
          <w:tab/>
        </w:r>
        <w:r w:rsidRPr="00E53B21">
          <w:tab/>
        </w:r>
        <w:r w:rsidRPr="00E53B21">
          <w:tab/>
        </w:r>
        <w:r w:rsidRPr="00E53B21">
          <w:tab/>
        </w:r>
        <w:r w:rsidRPr="00E53B21">
          <w:fldChar w:fldCharType="begin"/>
        </w:r>
        <w:r w:rsidRPr="00E53B21">
          <w:instrText>PAGE   \* MERGEFORMAT</w:instrText>
        </w:r>
        <w:r w:rsidRPr="00E53B21">
          <w:fldChar w:fldCharType="separate"/>
        </w:r>
        <w:r w:rsidR="005347D5">
          <w:rPr>
            <w:noProof/>
          </w:rPr>
          <w:t>3</w:t>
        </w:r>
        <w:r w:rsidRPr="00E53B21">
          <w:fldChar w:fldCharType="end"/>
        </w:r>
        <w:r w:rsidRPr="00E53B21">
          <w:t>/3</w:t>
        </w:r>
      </w:p>
    </w:sdtContent>
  </w:sdt>
  <w:p w14:paraId="6F5EB23C" w14:textId="61C9694F" w:rsidR="00D00B73" w:rsidRDefault="00D00B73" w:rsidP="0091612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6788051"/>
      <w:docPartObj>
        <w:docPartGallery w:val="Page Numbers (Bottom of Page)"/>
        <w:docPartUnique/>
      </w:docPartObj>
    </w:sdtPr>
    <w:sdtEndPr/>
    <w:sdtContent>
      <w:p w14:paraId="66BA7ED1" w14:textId="77777777" w:rsidR="00E53B21" w:rsidRPr="00E53B21" w:rsidRDefault="00E53B21" w:rsidP="00E53B21">
        <w:pPr>
          <w:pBdr>
            <w:top w:val="single" w:sz="4" w:space="1" w:color="auto"/>
          </w:pBdr>
          <w:tabs>
            <w:tab w:val="center" w:pos="4536"/>
            <w:tab w:val="left" w:pos="7701"/>
            <w:tab w:val="right" w:pos="9072"/>
            <w:tab w:val="right" w:pos="9746"/>
          </w:tabs>
          <w:spacing w:after="0" w:line="240" w:lineRule="auto"/>
        </w:pPr>
        <w:r w:rsidRPr="00E53B21">
          <w:tab/>
        </w:r>
        <w:r w:rsidRPr="00E53B21">
          <w:tab/>
        </w:r>
        <w:r w:rsidRPr="00E53B21">
          <w:tab/>
        </w:r>
        <w:r w:rsidRPr="00E53B21">
          <w:tab/>
        </w:r>
        <w:r w:rsidRPr="00E53B21">
          <w:fldChar w:fldCharType="begin"/>
        </w:r>
        <w:r w:rsidRPr="00E53B21">
          <w:instrText>PAGE   \* MERGEFORMAT</w:instrText>
        </w:r>
        <w:r w:rsidRPr="00E53B21">
          <w:fldChar w:fldCharType="separate"/>
        </w:r>
        <w:r w:rsidR="005347D5">
          <w:rPr>
            <w:noProof/>
          </w:rPr>
          <w:t>1</w:t>
        </w:r>
        <w:r w:rsidRPr="00E53B21">
          <w:fldChar w:fldCharType="end"/>
        </w:r>
        <w:r w:rsidRPr="00E53B21">
          <w:t>/3</w:t>
        </w:r>
      </w:p>
    </w:sdtContent>
  </w:sdt>
  <w:p w14:paraId="61DCE8B8" w14:textId="05B73DC5" w:rsidR="00D00B73" w:rsidRDefault="00D00B73" w:rsidP="0004085D">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E7652B" w14:textId="77777777" w:rsidR="0027277F" w:rsidRDefault="0027277F" w:rsidP="0004085D">
      <w:pPr>
        <w:spacing w:after="0" w:line="240" w:lineRule="auto"/>
      </w:pPr>
      <w:r>
        <w:separator/>
      </w:r>
    </w:p>
  </w:footnote>
  <w:footnote w:type="continuationSeparator" w:id="0">
    <w:p w14:paraId="288B5A31" w14:textId="77777777" w:rsidR="0027277F" w:rsidRDefault="0027277F" w:rsidP="000408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EFDB3B" w14:textId="77777777" w:rsidR="00D00B73" w:rsidRDefault="00D00B73">
    <w:pPr>
      <w:pStyle w:val="En-tte"/>
    </w:pPr>
  </w:p>
  <w:p w14:paraId="6EBA3C00" w14:textId="77777777" w:rsidR="00D00B73" w:rsidRDefault="00D00B73">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A7F009" w14:textId="1955F6F9" w:rsidR="00916124" w:rsidRDefault="00916124" w:rsidP="00916124">
    <w:pPr>
      <w:pStyle w:val="En-tte"/>
      <w:jc w:val="center"/>
      <w:rPr>
        <w:rFonts w:ascii="Times New Roman" w:hAnsi="Times New Roman" w:cs="Times New Roman"/>
      </w:rPr>
    </w:pPr>
    <w:r>
      <w:rPr>
        <w:noProof/>
        <w:lang w:eastAsia="fr-FR"/>
      </w:rPr>
      <w:drawing>
        <wp:inline distT="0" distB="0" distL="0" distR="0" wp14:anchorId="636EE083" wp14:editId="480595F0">
          <wp:extent cx="1152525" cy="600075"/>
          <wp:effectExtent l="0" t="0" r="9525"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525" cy="600075"/>
                  </a:xfrm>
                  <a:prstGeom prst="rect">
                    <a:avLst/>
                  </a:prstGeom>
                  <a:noFill/>
                  <a:ln>
                    <a:noFill/>
                  </a:ln>
                </pic:spPr>
              </pic:pic>
            </a:graphicData>
          </a:graphic>
        </wp:inline>
      </w:drawing>
    </w:r>
  </w:p>
  <w:p w14:paraId="58B05911" w14:textId="77777777" w:rsidR="00916124" w:rsidRDefault="00916124" w:rsidP="00916124">
    <w:pPr>
      <w:pStyle w:val="En-tte"/>
      <w:ind w:left="2155" w:right="2155"/>
      <w:jc w:val="center"/>
      <w:rPr>
        <w:rFonts w:ascii="Times New Roman" w:hAnsi="Times New Roman" w:cs="Times New Roman"/>
      </w:rPr>
    </w:pPr>
  </w:p>
  <w:p w14:paraId="097C009F" w14:textId="23621B1F" w:rsidR="00D00B73" w:rsidRPr="00916124" w:rsidRDefault="00916124" w:rsidP="00916124">
    <w:pPr>
      <w:pStyle w:val="En-tte"/>
      <w:ind w:left="2155" w:right="2155"/>
      <w:jc w:val="center"/>
    </w:pPr>
    <w:r>
      <w:rPr>
        <w:rFonts w:ascii="Times New Roman" w:hAnsi="Times New Roman" w:cs="Times New Roman"/>
      </w:rPr>
      <w:t>PRÉFET DE LA RÉGION BRETAGNE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A66964"/>
    <w:multiLevelType w:val="hybridMultilevel"/>
    <w:tmpl w:val="F8707516"/>
    <w:lvl w:ilvl="0" w:tplc="10FABE52">
      <w:start w:val="5"/>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98C2899"/>
    <w:multiLevelType w:val="hybridMultilevel"/>
    <w:tmpl w:val="96CA4BB8"/>
    <w:lvl w:ilvl="0" w:tplc="B3FAFE26">
      <w:start w:val="2"/>
      <w:numFmt w:val="bullet"/>
      <w:lvlText w:val="-"/>
      <w:lvlJc w:val="left"/>
      <w:pPr>
        <w:ind w:left="720" w:hanging="360"/>
      </w:pPr>
      <w:rPr>
        <w:rFonts w:ascii="Book Antiqua" w:eastAsia="Times New Roman" w:hAnsi="Book Antiqu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2FA2302"/>
    <w:multiLevelType w:val="singleLevel"/>
    <w:tmpl w:val="8670FBA6"/>
    <w:lvl w:ilvl="0">
      <w:start w:val="1"/>
      <w:numFmt w:val="bullet"/>
      <w:lvlText w:val="-"/>
      <w:lvlJc w:val="left"/>
      <w:pPr>
        <w:tabs>
          <w:tab w:val="num" w:pos="360"/>
        </w:tabs>
        <w:ind w:left="360" w:hanging="360"/>
      </w:pPr>
      <w:rPr>
        <w:rFonts w:ascii="Times New Roman" w:hAnsi="Times New Roman" w:cs="Times New Roman" w:hint="default"/>
      </w:rPr>
    </w:lvl>
  </w:abstractNum>
  <w:abstractNum w:abstractNumId="3" w15:restartNumberingAfterBreak="0">
    <w:nsid w:val="44007F89"/>
    <w:multiLevelType w:val="hybridMultilevel"/>
    <w:tmpl w:val="6028539A"/>
    <w:lvl w:ilvl="0" w:tplc="77321516">
      <w:start w:val="5"/>
      <w:numFmt w:val="bullet"/>
      <w:lvlText w:val="-"/>
      <w:lvlJc w:val="left"/>
      <w:pPr>
        <w:ind w:left="720" w:hanging="360"/>
      </w:pPr>
      <w:rPr>
        <w:rFonts w:ascii="Book Antiqua" w:eastAsia="Times New Roman" w:hAnsi="Book Antiqu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4ED0638"/>
    <w:multiLevelType w:val="hybridMultilevel"/>
    <w:tmpl w:val="F092B3F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53F17CCB"/>
    <w:multiLevelType w:val="hybridMultilevel"/>
    <w:tmpl w:val="D37CB6C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56084A67"/>
    <w:multiLevelType w:val="hybridMultilevel"/>
    <w:tmpl w:val="46605584"/>
    <w:lvl w:ilvl="0" w:tplc="160AC0A6">
      <w:start w:val="3"/>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3A13AD5"/>
    <w:multiLevelType w:val="hybridMultilevel"/>
    <w:tmpl w:val="DFEAC970"/>
    <w:lvl w:ilvl="0" w:tplc="888AA4C0">
      <w:start w:val="201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A8923AE"/>
    <w:multiLevelType w:val="hybridMultilevel"/>
    <w:tmpl w:val="E37C9960"/>
    <w:lvl w:ilvl="0" w:tplc="82068514">
      <w:start w:val="1"/>
      <w:numFmt w:val="bullet"/>
      <w:lvlText w:val=""/>
      <w:lvlJc w:val="left"/>
      <w:pPr>
        <w:tabs>
          <w:tab w:val="num" w:pos="720"/>
        </w:tabs>
        <w:ind w:left="720" w:hanging="360"/>
      </w:pPr>
      <w:rPr>
        <w:rFonts w:ascii="Wingdings" w:hAnsi="Wingdings" w:hint="default"/>
      </w:rPr>
    </w:lvl>
    <w:lvl w:ilvl="1" w:tplc="C3ECE8BC">
      <w:start w:val="75"/>
      <w:numFmt w:val="bullet"/>
      <w:lvlText w:val=""/>
      <w:lvlJc w:val="left"/>
      <w:pPr>
        <w:tabs>
          <w:tab w:val="num" w:pos="1440"/>
        </w:tabs>
        <w:ind w:left="1440" w:hanging="360"/>
      </w:pPr>
      <w:rPr>
        <w:rFonts w:ascii="Wingdings" w:hAnsi="Wingdings" w:hint="default"/>
      </w:rPr>
    </w:lvl>
    <w:lvl w:ilvl="2" w:tplc="F07A2140" w:tentative="1">
      <w:start w:val="1"/>
      <w:numFmt w:val="bullet"/>
      <w:lvlText w:val=""/>
      <w:lvlJc w:val="left"/>
      <w:pPr>
        <w:tabs>
          <w:tab w:val="num" w:pos="2160"/>
        </w:tabs>
        <w:ind w:left="2160" w:hanging="360"/>
      </w:pPr>
      <w:rPr>
        <w:rFonts w:ascii="Wingdings" w:hAnsi="Wingdings" w:hint="default"/>
      </w:rPr>
    </w:lvl>
    <w:lvl w:ilvl="3" w:tplc="0BB6C524" w:tentative="1">
      <w:start w:val="1"/>
      <w:numFmt w:val="bullet"/>
      <w:lvlText w:val=""/>
      <w:lvlJc w:val="left"/>
      <w:pPr>
        <w:tabs>
          <w:tab w:val="num" w:pos="2880"/>
        </w:tabs>
        <w:ind w:left="2880" w:hanging="360"/>
      </w:pPr>
      <w:rPr>
        <w:rFonts w:ascii="Wingdings" w:hAnsi="Wingdings" w:hint="default"/>
      </w:rPr>
    </w:lvl>
    <w:lvl w:ilvl="4" w:tplc="8DD80136" w:tentative="1">
      <w:start w:val="1"/>
      <w:numFmt w:val="bullet"/>
      <w:lvlText w:val=""/>
      <w:lvlJc w:val="left"/>
      <w:pPr>
        <w:tabs>
          <w:tab w:val="num" w:pos="3600"/>
        </w:tabs>
        <w:ind w:left="3600" w:hanging="360"/>
      </w:pPr>
      <w:rPr>
        <w:rFonts w:ascii="Wingdings" w:hAnsi="Wingdings" w:hint="default"/>
      </w:rPr>
    </w:lvl>
    <w:lvl w:ilvl="5" w:tplc="D3A86918" w:tentative="1">
      <w:start w:val="1"/>
      <w:numFmt w:val="bullet"/>
      <w:lvlText w:val=""/>
      <w:lvlJc w:val="left"/>
      <w:pPr>
        <w:tabs>
          <w:tab w:val="num" w:pos="4320"/>
        </w:tabs>
        <w:ind w:left="4320" w:hanging="360"/>
      </w:pPr>
      <w:rPr>
        <w:rFonts w:ascii="Wingdings" w:hAnsi="Wingdings" w:hint="default"/>
      </w:rPr>
    </w:lvl>
    <w:lvl w:ilvl="6" w:tplc="2E365020" w:tentative="1">
      <w:start w:val="1"/>
      <w:numFmt w:val="bullet"/>
      <w:lvlText w:val=""/>
      <w:lvlJc w:val="left"/>
      <w:pPr>
        <w:tabs>
          <w:tab w:val="num" w:pos="5040"/>
        </w:tabs>
        <w:ind w:left="5040" w:hanging="360"/>
      </w:pPr>
      <w:rPr>
        <w:rFonts w:ascii="Wingdings" w:hAnsi="Wingdings" w:hint="default"/>
      </w:rPr>
    </w:lvl>
    <w:lvl w:ilvl="7" w:tplc="59128C2C" w:tentative="1">
      <w:start w:val="1"/>
      <w:numFmt w:val="bullet"/>
      <w:lvlText w:val=""/>
      <w:lvlJc w:val="left"/>
      <w:pPr>
        <w:tabs>
          <w:tab w:val="num" w:pos="5760"/>
        </w:tabs>
        <w:ind w:left="5760" w:hanging="360"/>
      </w:pPr>
      <w:rPr>
        <w:rFonts w:ascii="Wingdings" w:hAnsi="Wingdings" w:hint="default"/>
      </w:rPr>
    </w:lvl>
    <w:lvl w:ilvl="8" w:tplc="F1945492"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4"/>
  </w:num>
  <w:num w:numId="3">
    <w:abstractNumId w:val="3"/>
  </w:num>
  <w:num w:numId="4">
    <w:abstractNumId w:val="6"/>
  </w:num>
  <w:num w:numId="5">
    <w:abstractNumId w:val="7"/>
  </w:num>
  <w:num w:numId="6">
    <w:abstractNumId w:val="1"/>
  </w:num>
  <w:num w:numId="7">
    <w:abstractNumId w:val="0"/>
  </w:num>
  <w:num w:numId="8">
    <w:abstractNumId w:val="5"/>
  </w:num>
  <w:num w:numId="9">
    <w:abstractNumId w:val="2"/>
  </w:num>
  <w:num w:numId="10">
    <w:abstractNumId w:val="2"/>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autoHyphenation/>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085D"/>
    <w:rsid w:val="00006569"/>
    <w:rsid w:val="00035FDD"/>
    <w:rsid w:val="0004085D"/>
    <w:rsid w:val="00067E9D"/>
    <w:rsid w:val="0008523A"/>
    <w:rsid w:val="000A5E7E"/>
    <w:rsid w:val="000A7C61"/>
    <w:rsid w:val="000C4A52"/>
    <w:rsid w:val="00102E6C"/>
    <w:rsid w:val="0011497A"/>
    <w:rsid w:val="0012211C"/>
    <w:rsid w:val="00126E3F"/>
    <w:rsid w:val="001638D5"/>
    <w:rsid w:val="00170EBE"/>
    <w:rsid w:val="00187152"/>
    <w:rsid w:val="001941EE"/>
    <w:rsid w:val="00195348"/>
    <w:rsid w:val="001E05FF"/>
    <w:rsid w:val="001E159F"/>
    <w:rsid w:val="001E3AC2"/>
    <w:rsid w:val="00252B75"/>
    <w:rsid w:val="00254A3D"/>
    <w:rsid w:val="00254C84"/>
    <w:rsid w:val="0027277F"/>
    <w:rsid w:val="00273407"/>
    <w:rsid w:val="00274EDB"/>
    <w:rsid w:val="002B36F6"/>
    <w:rsid w:val="002D0E98"/>
    <w:rsid w:val="003157BE"/>
    <w:rsid w:val="0035379A"/>
    <w:rsid w:val="00357BDC"/>
    <w:rsid w:val="00370F6A"/>
    <w:rsid w:val="003A5E89"/>
    <w:rsid w:val="003B28E2"/>
    <w:rsid w:val="003D34D5"/>
    <w:rsid w:val="003F0A3B"/>
    <w:rsid w:val="004004B2"/>
    <w:rsid w:val="004026AC"/>
    <w:rsid w:val="00402C25"/>
    <w:rsid w:val="00410E1B"/>
    <w:rsid w:val="00411245"/>
    <w:rsid w:val="004312AE"/>
    <w:rsid w:val="00437DA2"/>
    <w:rsid w:val="0044467B"/>
    <w:rsid w:val="00446597"/>
    <w:rsid w:val="004826E3"/>
    <w:rsid w:val="004C38AC"/>
    <w:rsid w:val="004E64B7"/>
    <w:rsid w:val="004E6C4F"/>
    <w:rsid w:val="004F2B02"/>
    <w:rsid w:val="004F513B"/>
    <w:rsid w:val="005331E7"/>
    <w:rsid w:val="005347D5"/>
    <w:rsid w:val="005673C2"/>
    <w:rsid w:val="005A1004"/>
    <w:rsid w:val="005D0CDB"/>
    <w:rsid w:val="005F0C28"/>
    <w:rsid w:val="005F4E1D"/>
    <w:rsid w:val="0060143F"/>
    <w:rsid w:val="00605052"/>
    <w:rsid w:val="00690786"/>
    <w:rsid w:val="006B1662"/>
    <w:rsid w:val="006B69A9"/>
    <w:rsid w:val="006C1BD7"/>
    <w:rsid w:val="00704E11"/>
    <w:rsid w:val="007C12A6"/>
    <w:rsid w:val="007C16A1"/>
    <w:rsid w:val="007D7156"/>
    <w:rsid w:val="007D7188"/>
    <w:rsid w:val="007D7390"/>
    <w:rsid w:val="007E3F2A"/>
    <w:rsid w:val="00813B12"/>
    <w:rsid w:val="00823753"/>
    <w:rsid w:val="00836F60"/>
    <w:rsid w:val="00845A02"/>
    <w:rsid w:val="00864ABD"/>
    <w:rsid w:val="008C54D2"/>
    <w:rsid w:val="00905022"/>
    <w:rsid w:val="0090731F"/>
    <w:rsid w:val="009119B1"/>
    <w:rsid w:val="00916124"/>
    <w:rsid w:val="009265F0"/>
    <w:rsid w:val="0096186B"/>
    <w:rsid w:val="009663F5"/>
    <w:rsid w:val="009B4767"/>
    <w:rsid w:val="009B6FE2"/>
    <w:rsid w:val="009D1840"/>
    <w:rsid w:val="009D31D7"/>
    <w:rsid w:val="009E6EBC"/>
    <w:rsid w:val="00A24E73"/>
    <w:rsid w:val="00A27BB4"/>
    <w:rsid w:val="00A30DED"/>
    <w:rsid w:val="00A35E60"/>
    <w:rsid w:val="00A50837"/>
    <w:rsid w:val="00A5089C"/>
    <w:rsid w:val="00A5340B"/>
    <w:rsid w:val="00A57BF1"/>
    <w:rsid w:val="00A80207"/>
    <w:rsid w:val="00A84844"/>
    <w:rsid w:val="00AA0189"/>
    <w:rsid w:val="00AB3429"/>
    <w:rsid w:val="00AC51DA"/>
    <w:rsid w:val="00B01644"/>
    <w:rsid w:val="00B13B6B"/>
    <w:rsid w:val="00B61839"/>
    <w:rsid w:val="00B675E4"/>
    <w:rsid w:val="00B771C0"/>
    <w:rsid w:val="00B9059C"/>
    <w:rsid w:val="00B914F2"/>
    <w:rsid w:val="00B94491"/>
    <w:rsid w:val="00BA29E6"/>
    <w:rsid w:val="00BC65B0"/>
    <w:rsid w:val="00BC7AFF"/>
    <w:rsid w:val="00BD3D3F"/>
    <w:rsid w:val="00BD4FE4"/>
    <w:rsid w:val="00C61BC3"/>
    <w:rsid w:val="00CA0815"/>
    <w:rsid w:val="00CC648B"/>
    <w:rsid w:val="00CF712F"/>
    <w:rsid w:val="00D00B73"/>
    <w:rsid w:val="00D76067"/>
    <w:rsid w:val="00DB5372"/>
    <w:rsid w:val="00E0742D"/>
    <w:rsid w:val="00E445A5"/>
    <w:rsid w:val="00E53473"/>
    <w:rsid w:val="00E53B21"/>
    <w:rsid w:val="00E92F1D"/>
    <w:rsid w:val="00EB1F41"/>
    <w:rsid w:val="00EC5852"/>
    <w:rsid w:val="00F030B3"/>
    <w:rsid w:val="00F21180"/>
    <w:rsid w:val="00F32C28"/>
    <w:rsid w:val="00F50A21"/>
    <w:rsid w:val="00F77DAF"/>
    <w:rsid w:val="00F969E4"/>
    <w:rsid w:val="00FD60FF"/>
    <w:rsid w:val="00FD6482"/>
    <w:rsid w:val="00FE60F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162FE1A5"/>
  <w15:chartTrackingRefBased/>
  <w15:docId w15:val="{EA0CB3B2-CACC-4843-A310-4454714A5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Adressedestinataire">
    <w:name w:val="envelope address"/>
    <w:basedOn w:val="Normal"/>
    <w:uiPriority w:val="99"/>
    <w:semiHidden/>
    <w:unhideWhenUsed/>
    <w:rsid w:val="00A80207"/>
    <w:pPr>
      <w:framePr w:w="7938" w:h="1985" w:hRule="exact" w:hSpace="141" w:wrap="auto" w:hAnchor="page" w:xAlign="center" w:yAlign="bottom"/>
      <w:spacing w:after="0" w:line="240" w:lineRule="auto"/>
      <w:ind w:left="2835"/>
    </w:pPr>
    <w:rPr>
      <w:rFonts w:ascii="Calibri" w:eastAsiaTheme="majorEastAsia" w:hAnsi="Calibri" w:cstheme="majorBidi"/>
      <w:sz w:val="24"/>
      <w:szCs w:val="24"/>
    </w:rPr>
  </w:style>
  <w:style w:type="paragraph" w:styleId="Adresseexpditeur">
    <w:name w:val="envelope return"/>
    <w:basedOn w:val="Normal"/>
    <w:uiPriority w:val="99"/>
    <w:semiHidden/>
    <w:unhideWhenUsed/>
    <w:rsid w:val="00A80207"/>
    <w:pPr>
      <w:spacing w:after="0" w:line="240" w:lineRule="auto"/>
    </w:pPr>
    <w:rPr>
      <w:rFonts w:ascii="Calibri" w:eastAsiaTheme="majorEastAsia" w:hAnsi="Calibri" w:cstheme="majorBidi"/>
      <w:szCs w:val="20"/>
    </w:rPr>
  </w:style>
  <w:style w:type="paragraph" w:styleId="NormalWeb">
    <w:name w:val="Normal (Web)"/>
    <w:basedOn w:val="Normal"/>
    <w:uiPriority w:val="99"/>
    <w:semiHidden/>
    <w:unhideWhenUsed/>
    <w:rsid w:val="0004085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99"/>
    <w:qFormat/>
    <w:rsid w:val="0004085D"/>
    <w:rPr>
      <w:b/>
      <w:bCs/>
    </w:rPr>
  </w:style>
  <w:style w:type="paragraph" w:styleId="En-tte">
    <w:name w:val="header"/>
    <w:basedOn w:val="Normal"/>
    <w:link w:val="En-tteCar"/>
    <w:uiPriority w:val="99"/>
    <w:unhideWhenUsed/>
    <w:rsid w:val="0004085D"/>
    <w:pPr>
      <w:tabs>
        <w:tab w:val="center" w:pos="4536"/>
        <w:tab w:val="right" w:pos="9072"/>
      </w:tabs>
      <w:spacing w:after="0" w:line="240" w:lineRule="auto"/>
    </w:pPr>
  </w:style>
  <w:style w:type="character" w:customStyle="1" w:styleId="En-tteCar">
    <w:name w:val="En-tête Car"/>
    <w:basedOn w:val="Policepardfaut"/>
    <w:link w:val="En-tte"/>
    <w:uiPriority w:val="99"/>
    <w:rsid w:val="0004085D"/>
  </w:style>
  <w:style w:type="paragraph" w:styleId="Pieddepage">
    <w:name w:val="footer"/>
    <w:basedOn w:val="Normal"/>
    <w:link w:val="PieddepageCar"/>
    <w:uiPriority w:val="99"/>
    <w:unhideWhenUsed/>
    <w:rsid w:val="0004085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4085D"/>
  </w:style>
  <w:style w:type="character" w:styleId="Numrodepage">
    <w:name w:val="page number"/>
    <w:basedOn w:val="Policepardfaut"/>
    <w:rsid w:val="0004085D"/>
  </w:style>
  <w:style w:type="paragraph" w:customStyle="1" w:styleId="Default">
    <w:name w:val="Default"/>
    <w:rsid w:val="0096186B"/>
    <w:pPr>
      <w:autoSpaceDE w:val="0"/>
      <w:autoSpaceDN w:val="0"/>
      <w:adjustRightInd w:val="0"/>
      <w:spacing w:after="0" w:line="240" w:lineRule="auto"/>
    </w:pPr>
    <w:rPr>
      <w:rFonts w:ascii="Calibri" w:hAnsi="Calibri" w:cs="Calibri"/>
      <w:color w:val="000000"/>
      <w:sz w:val="24"/>
      <w:szCs w:val="24"/>
    </w:rPr>
  </w:style>
  <w:style w:type="character" w:styleId="Lienhypertexte">
    <w:name w:val="Hyperlink"/>
    <w:basedOn w:val="Policepardfaut"/>
    <w:unhideWhenUsed/>
    <w:rsid w:val="0011497A"/>
    <w:rPr>
      <w:color w:val="0000FF"/>
      <w:u w:val="single"/>
    </w:rPr>
  </w:style>
  <w:style w:type="paragraph" w:styleId="Paragraphedeliste">
    <w:name w:val="List Paragraph"/>
    <w:basedOn w:val="Normal"/>
    <w:uiPriority w:val="34"/>
    <w:qFormat/>
    <w:rsid w:val="0011497A"/>
    <w:pPr>
      <w:ind w:left="720"/>
      <w:contextualSpacing/>
    </w:pPr>
  </w:style>
  <w:style w:type="character" w:customStyle="1" w:styleId="Mentionnonrsolue1">
    <w:name w:val="Mention non résolue1"/>
    <w:basedOn w:val="Policepardfaut"/>
    <w:uiPriority w:val="99"/>
    <w:semiHidden/>
    <w:unhideWhenUsed/>
    <w:rsid w:val="0011497A"/>
    <w:rPr>
      <w:color w:val="808080"/>
      <w:shd w:val="clear" w:color="auto" w:fill="E6E6E6"/>
    </w:rPr>
  </w:style>
  <w:style w:type="character" w:styleId="Marquedecommentaire">
    <w:name w:val="annotation reference"/>
    <w:basedOn w:val="Policepardfaut"/>
    <w:uiPriority w:val="99"/>
    <w:rsid w:val="00CC648B"/>
    <w:rPr>
      <w:sz w:val="16"/>
      <w:szCs w:val="16"/>
    </w:rPr>
  </w:style>
  <w:style w:type="paragraph" w:styleId="Commentaire">
    <w:name w:val="annotation text"/>
    <w:basedOn w:val="Normal"/>
    <w:link w:val="CommentaireCar"/>
    <w:uiPriority w:val="99"/>
    <w:rsid w:val="00CC648B"/>
    <w:pPr>
      <w:spacing w:after="0" w:line="240" w:lineRule="auto"/>
    </w:pPr>
    <w:rPr>
      <w:rFonts w:ascii="Times New Roman" w:eastAsia="Times New Roman" w:hAnsi="Times New Roman" w:cs="Times New Roman"/>
      <w:sz w:val="20"/>
      <w:szCs w:val="20"/>
      <w:lang w:eastAsia="fr-FR"/>
    </w:rPr>
  </w:style>
  <w:style w:type="character" w:customStyle="1" w:styleId="CommentaireCar">
    <w:name w:val="Commentaire Car"/>
    <w:basedOn w:val="Policepardfaut"/>
    <w:link w:val="Commentaire"/>
    <w:uiPriority w:val="99"/>
    <w:rsid w:val="00CC648B"/>
    <w:rPr>
      <w:rFonts w:ascii="Times New Roman" w:eastAsia="Times New Roman" w:hAnsi="Times New Roman" w:cs="Times New Roman"/>
      <w:sz w:val="20"/>
      <w:szCs w:val="20"/>
      <w:lang w:eastAsia="fr-FR"/>
    </w:rPr>
  </w:style>
  <w:style w:type="paragraph" w:styleId="Textedebulles">
    <w:name w:val="Balloon Text"/>
    <w:basedOn w:val="Normal"/>
    <w:link w:val="TextedebullesCar"/>
    <w:uiPriority w:val="99"/>
    <w:semiHidden/>
    <w:unhideWhenUsed/>
    <w:rsid w:val="00CC648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C648B"/>
    <w:rPr>
      <w:rFonts w:ascii="Segoe UI" w:hAnsi="Segoe UI" w:cs="Segoe UI"/>
      <w:sz w:val="18"/>
      <w:szCs w:val="18"/>
    </w:rPr>
  </w:style>
  <w:style w:type="paragraph" w:styleId="Objetducommentaire">
    <w:name w:val="annotation subject"/>
    <w:basedOn w:val="Commentaire"/>
    <w:next w:val="Commentaire"/>
    <w:link w:val="ObjetducommentaireCar"/>
    <w:uiPriority w:val="99"/>
    <w:semiHidden/>
    <w:unhideWhenUsed/>
    <w:rsid w:val="00845A02"/>
    <w:pPr>
      <w:spacing w:after="160"/>
    </w:pPr>
    <w:rPr>
      <w:rFonts w:asciiTheme="minorHAnsi" w:eastAsiaTheme="minorHAnsi" w:hAnsiTheme="minorHAnsi" w:cstheme="minorBidi"/>
      <w:b/>
      <w:bCs/>
      <w:lang w:eastAsia="en-US"/>
    </w:rPr>
  </w:style>
  <w:style w:type="character" w:customStyle="1" w:styleId="ObjetducommentaireCar">
    <w:name w:val="Objet du commentaire Car"/>
    <w:basedOn w:val="CommentaireCar"/>
    <w:link w:val="Objetducommentaire"/>
    <w:uiPriority w:val="99"/>
    <w:semiHidden/>
    <w:rsid w:val="00845A02"/>
    <w:rPr>
      <w:rFonts w:ascii="Times New Roman" w:eastAsia="Times New Roman" w:hAnsi="Times New Roman" w:cs="Times New Roman"/>
      <w:b/>
      <w:bCs/>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9938267">
      <w:bodyDiv w:val="1"/>
      <w:marLeft w:val="0"/>
      <w:marRight w:val="0"/>
      <w:marTop w:val="0"/>
      <w:marBottom w:val="0"/>
      <w:divBdr>
        <w:top w:val="none" w:sz="0" w:space="0" w:color="auto"/>
        <w:left w:val="none" w:sz="0" w:space="0" w:color="auto"/>
        <w:bottom w:val="none" w:sz="0" w:space="0" w:color="auto"/>
        <w:right w:val="none" w:sz="0" w:space="0" w:color="auto"/>
      </w:divBdr>
      <w:divsChild>
        <w:div w:id="852108794">
          <w:marLeft w:val="547"/>
          <w:marRight w:val="0"/>
          <w:marTop w:val="0"/>
          <w:marBottom w:val="0"/>
          <w:divBdr>
            <w:top w:val="none" w:sz="0" w:space="0" w:color="auto"/>
            <w:left w:val="none" w:sz="0" w:space="0" w:color="auto"/>
            <w:bottom w:val="none" w:sz="0" w:space="0" w:color="auto"/>
            <w:right w:val="none" w:sz="0" w:space="0" w:color="auto"/>
          </w:divBdr>
        </w:div>
        <w:div w:id="197014523">
          <w:marLeft w:val="1267"/>
          <w:marRight w:val="0"/>
          <w:marTop w:val="0"/>
          <w:marBottom w:val="0"/>
          <w:divBdr>
            <w:top w:val="none" w:sz="0" w:space="0" w:color="auto"/>
            <w:left w:val="none" w:sz="0" w:space="0" w:color="auto"/>
            <w:bottom w:val="none" w:sz="0" w:space="0" w:color="auto"/>
            <w:right w:val="none" w:sz="0" w:space="0" w:color="auto"/>
          </w:divBdr>
        </w:div>
        <w:div w:id="72044259">
          <w:marLeft w:val="1267"/>
          <w:marRight w:val="0"/>
          <w:marTop w:val="0"/>
          <w:marBottom w:val="0"/>
          <w:divBdr>
            <w:top w:val="none" w:sz="0" w:space="0" w:color="auto"/>
            <w:left w:val="none" w:sz="0" w:space="0" w:color="auto"/>
            <w:bottom w:val="none" w:sz="0" w:space="0" w:color="auto"/>
            <w:right w:val="none" w:sz="0" w:space="0" w:color="auto"/>
          </w:divBdr>
        </w:div>
        <w:div w:id="1437600624">
          <w:marLeft w:val="547"/>
          <w:marRight w:val="0"/>
          <w:marTop w:val="0"/>
          <w:marBottom w:val="0"/>
          <w:divBdr>
            <w:top w:val="none" w:sz="0" w:space="0" w:color="auto"/>
            <w:left w:val="none" w:sz="0" w:space="0" w:color="auto"/>
            <w:bottom w:val="none" w:sz="0" w:space="0" w:color="auto"/>
            <w:right w:val="none" w:sz="0" w:space="0" w:color="auto"/>
          </w:divBdr>
        </w:div>
        <w:div w:id="1015428133">
          <w:marLeft w:val="547"/>
          <w:marRight w:val="0"/>
          <w:marTop w:val="0"/>
          <w:marBottom w:val="0"/>
          <w:divBdr>
            <w:top w:val="none" w:sz="0" w:space="0" w:color="auto"/>
            <w:left w:val="none" w:sz="0" w:space="0" w:color="auto"/>
            <w:bottom w:val="none" w:sz="0" w:space="0" w:color="auto"/>
            <w:right w:val="none" w:sz="0" w:space="0" w:color="auto"/>
          </w:divBdr>
        </w:div>
      </w:divsChild>
    </w:div>
    <w:div w:id="1434742292">
      <w:bodyDiv w:val="1"/>
      <w:marLeft w:val="0"/>
      <w:marRight w:val="0"/>
      <w:marTop w:val="0"/>
      <w:marBottom w:val="0"/>
      <w:divBdr>
        <w:top w:val="none" w:sz="0" w:space="0" w:color="auto"/>
        <w:left w:val="none" w:sz="0" w:space="0" w:color="auto"/>
        <w:bottom w:val="none" w:sz="0" w:space="0" w:color="auto"/>
        <w:right w:val="none" w:sz="0" w:space="0" w:color="auto"/>
      </w:divBdr>
      <w:divsChild>
        <w:div w:id="1319459217">
          <w:marLeft w:val="0"/>
          <w:marRight w:val="0"/>
          <w:marTop w:val="0"/>
          <w:marBottom w:val="0"/>
          <w:divBdr>
            <w:top w:val="none" w:sz="0" w:space="0" w:color="auto"/>
            <w:left w:val="none" w:sz="0" w:space="0" w:color="auto"/>
            <w:bottom w:val="none" w:sz="0" w:space="0" w:color="auto"/>
            <w:right w:val="none" w:sz="0" w:space="0" w:color="auto"/>
          </w:divBdr>
        </w:div>
        <w:div w:id="652299188">
          <w:marLeft w:val="0"/>
          <w:marRight w:val="0"/>
          <w:marTop w:val="0"/>
          <w:marBottom w:val="0"/>
          <w:divBdr>
            <w:top w:val="none" w:sz="0" w:space="0" w:color="auto"/>
            <w:left w:val="none" w:sz="0" w:space="0" w:color="auto"/>
            <w:bottom w:val="none" w:sz="0" w:space="0" w:color="auto"/>
            <w:right w:val="none" w:sz="0" w:space="0" w:color="auto"/>
          </w:divBdr>
        </w:div>
        <w:div w:id="1584877102">
          <w:marLeft w:val="0"/>
          <w:marRight w:val="0"/>
          <w:marTop w:val="0"/>
          <w:marBottom w:val="0"/>
          <w:divBdr>
            <w:top w:val="none" w:sz="0" w:space="0" w:color="auto"/>
            <w:left w:val="none" w:sz="0" w:space="0" w:color="auto"/>
            <w:bottom w:val="none" w:sz="0" w:space="0" w:color="auto"/>
            <w:right w:val="none" w:sz="0" w:space="0" w:color="auto"/>
          </w:divBdr>
        </w:div>
        <w:div w:id="1817916113">
          <w:marLeft w:val="0"/>
          <w:marRight w:val="0"/>
          <w:marTop w:val="0"/>
          <w:marBottom w:val="0"/>
          <w:divBdr>
            <w:top w:val="none" w:sz="0" w:space="0" w:color="auto"/>
            <w:left w:val="none" w:sz="0" w:space="0" w:color="auto"/>
            <w:bottom w:val="none" w:sz="0" w:space="0" w:color="auto"/>
            <w:right w:val="none" w:sz="0" w:space="0" w:color="auto"/>
          </w:divBdr>
        </w:div>
        <w:div w:id="324096201">
          <w:marLeft w:val="0"/>
          <w:marRight w:val="0"/>
          <w:marTop w:val="0"/>
          <w:marBottom w:val="0"/>
          <w:divBdr>
            <w:top w:val="none" w:sz="0" w:space="0" w:color="auto"/>
            <w:left w:val="none" w:sz="0" w:space="0" w:color="auto"/>
            <w:bottom w:val="none" w:sz="0" w:space="0" w:color="auto"/>
            <w:right w:val="none" w:sz="0" w:space="0" w:color="auto"/>
          </w:divBdr>
        </w:div>
        <w:div w:id="1514220845">
          <w:marLeft w:val="0"/>
          <w:marRight w:val="0"/>
          <w:marTop w:val="0"/>
          <w:marBottom w:val="0"/>
          <w:divBdr>
            <w:top w:val="none" w:sz="0" w:space="0" w:color="auto"/>
            <w:left w:val="none" w:sz="0" w:space="0" w:color="auto"/>
            <w:bottom w:val="none" w:sz="0" w:space="0" w:color="auto"/>
            <w:right w:val="none" w:sz="0" w:space="0" w:color="auto"/>
          </w:divBdr>
        </w:div>
        <w:div w:id="531193351">
          <w:marLeft w:val="0"/>
          <w:marRight w:val="0"/>
          <w:marTop w:val="0"/>
          <w:marBottom w:val="0"/>
          <w:divBdr>
            <w:top w:val="none" w:sz="0" w:space="0" w:color="auto"/>
            <w:left w:val="none" w:sz="0" w:space="0" w:color="auto"/>
            <w:bottom w:val="none" w:sz="0" w:space="0" w:color="auto"/>
            <w:right w:val="none" w:sz="0" w:space="0" w:color="auto"/>
          </w:divBdr>
        </w:div>
      </w:divsChild>
    </w:div>
    <w:div w:id="1452093878">
      <w:bodyDiv w:val="1"/>
      <w:marLeft w:val="0"/>
      <w:marRight w:val="0"/>
      <w:marTop w:val="0"/>
      <w:marBottom w:val="0"/>
      <w:divBdr>
        <w:top w:val="none" w:sz="0" w:space="0" w:color="auto"/>
        <w:left w:val="none" w:sz="0" w:space="0" w:color="auto"/>
        <w:bottom w:val="none" w:sz="0" w:space="0" w:color="auto"/>
        <w:right w:val="none" w:sz="0" w:space="0" w:color="auto"/>
      </w:divBdr>
      <w:divsChild>
        <w:div w:id="806707667">
          <w:marLeft w:val="0"/>
          <w:marRight w:val="0"/>
          <w:marTop w:val="0"/>
          <w:marBottom w:val="0"/>
          <w:divBdr>
            <w:top w:val="none" w:sz="0" w:space="0" w:color="auto"/>
            <w:left w:val="none" w:sz="0" w:space="0" w:color="auto"/>
            <w:bottom w:val="none" w:sz="0" w:space="0" w:color="auto"/>
            <w:right w:val="none" w:sz="0" w:space="0" w:color="auto"/>
          </w:divBdr>
        </w:div>
        <w:div w:id="2016034447">
          <w:marLeft w:val="0"/>
          <w:marRight w:val="0"/>
          <w:marTop w:val="0"/>
          <w:marBottom w:val="0"/>
          <w:divBdr>
            <w:top w:val="none" w:sz="0" w:space="0" w:color="auto"/>
            <w:left w:val="none" w:sz="0" w:space="0" w:color="auto"/>
            <w:bottom w:val="none" w:sz="0" w:space="0" w:color="auto"/>
            <w:right w:val="none" w:sz="0" w:space="0" w:color="auto"/>
          </w:divBdr>
        </w:div>
        <w:div w:id="380327139">
          <w:marLeft w:val="0"/>
          <w:marRight w:val="0"/>
          <w:marTop w:val="0"/>
          <w:marBottom w:val="0"/>
          <w:divBdr>
            <w:top w:val="none" w:sz="0" w:space="0" w:color="auto"/>
            <w:left w:val="none" w:sz="0" w:space="0" w:color="auto"/>
            <w:bottom w:val="none" w:sz="0" w:space="0" w:color="auto"/>
            <w:right w:val="none" w:sz="0" w:space="0" w:color="auto"/>
          </w:divBdr>
        </w:div>
        <w:div w:id="426728485">
          <w:marLeft w:val="0"/>
          <w:marRight w:val="0"/>
          <w:marTop w:val="0"/>
          <w:marBottom w:val="0"/>
          <w:divBdr>
            <w:top w:val="none" w:sz="0" w:space="0" w:color="auto"/>
            <w:left w:val="none" w:sz="0" w:space="0" w:color="auto"/>
            <w:bottom w:val="none" w:sz="0" w:space="0" w:color="auto"/>
            <w:right w:val="none" w:sz="0" w:space="0" w:color="auto"/>
          </w:divBdr>
        </w:div>
        <w:div w:id="450050815">
          <w:marLeft w:val="0"/>
          <w:marRight w:val="0"/>
          <w:marTop w:val="0"/>
          <w:marBottom w:val="0"/>
          <w:divBdr>
            <w:top w:val="none" w:sz="0" w:space="0" w:color="auto"/>
            <w:left w:val="none" w:sz="0" w:space="0" w:color="auto"/>
            <w:bottom w:val="none" w:sz="0" w:space="0" w:color="auto"/>
            <w:right w:val="none" w:sz="0" w:space="0" w:color="auto"/>
          </w:divBdr>
        </w:div>
        <w:div w:id="1914926655">
          <w:marLeft w:val="0"/>
          <w:marRight w:val="0"/>
          <w:marTop w:val="0"/>
          <w:marBottom w:val="0"/>
          <w:divBdr>
            <w:top w:val="none" w:sz="0" w:space="0" w:color="auto"/>
            <w:left w:val="none" w:sz="0" w:space="0" w:color="auto"/>
            <w:bottom w:val="none" w:sz="0" w:space="0" w:color="auto"/>
            <w:right w:val="none" w:sz="0" w:space="0" w:color="auto"/>
          </w:divBdr>
        </w:div>
        <w:div w:id="38482708">
          <w:marLeft w:val="0"/>
          <w:marRight w:val="0"/>
          <w:marTop w:val="0"/>
          <w:marBottom w:val="0"/>
          <w:divBdr>
            <w:top w:val="none" w:sz="0" w:space="0" w:color="auto"/>
            <w:left w:val="none" w:sz="0" w:space="0" w:color="auto"/>
            <w:bottom w:val="none" w:sz="0" w:space="0" w:color="auto"/>
            <w:right w:val="none" w:sz="0" w:space="0" w:color="auto"/>
          </w:divBdr>
        </w:div>
        <w:div w:id="595944763">
          <w:marLeft w:val="0"/>
          <w:marRight w:val="0"/>
          <w:marTop w:val="0"/>
          <w:marBottom w:val="0"/>
          <w:divBdr>
            <w:top w:val="none" w:sz="0" w:space="0" w:color="auto"/>
            <w:left w:val="none" w:sz="0" w:space="0" w:color="auto"/>
            <w:bottom w:val="none" w:sz="0" w:space="0" w:color="auto"/>
            <w:right w:val="none" w:sz="0" w:space="0" w:color="auto"/>
          </w:divBdr>
        </w:div>
        <w:div w:id="729109078">
          <w:marLeft w:val="0"/>
          <w:marRight w:val="0"/>
          <w:marTop w:val="0"/>
          <w:marBottom w:val="0"/>
          <w:divBdr>
            <w:top w:val="none" w:sz="0" w:space="0" w:color="auto"/>
            <w:left w:val="none" w:sz="0" w:space="0" w:color="auto"/>
            <w:bottom w:val="none" w:sz="0" w:space="0" w:color="auto"/>
            <w:right w:val="none" w:sz="0" w:space="0" w:color="auto"/>
          </w:divBdr>
        </w:div>
        <w:div w:id="985284487">
          <w:marLeft w:val="0"/>
          <w:marRight w:val="0"/>
          <w:marTop w:val="0"/>
          <w:marBottom w:val="0"/>
          <w:divBdr>
            <w:top w:val="none" w:sz="0" w:space="0" w:color="auto"/>
            <w:left w:val="none" w:sz="0" w:space="0" w:color="auto"/>
            <w:bottom w:val="none" w:sz="0" w:space="0" w:color="auto"/>
            <w:right w:val="none" w:sz="0" w:space="0" w:color="auto"/>
          </w:divBdr>
        </w:div>
        <w:div w:id="928394967">
          <w:marLeft w:val="0"/>
          <w:marRight w:val="0"/>
          <w:marTop w:val="0"/>
          <w:marBottom w:val="0"/>
          <w:divBdr>
            <w:top w:val="none" w:sz="0" w:space="0" w:color="auto"/>
            <w:left w:val="none" w:sz="0" w:space="0" w:color="auto"/>
            <w:bottom w:val="none" w:sz="0" w:space="0" w:color="auto"/>
            <w:right w:val="none" w:sz="0" w:space="0" w:color="auto"/>
          </w:divBdr>
        </w:div>
        <w:div w:id="90320242">
          <w:marLeft w:val="0"/>
          <w:marRight w:val="0"/>
          <w:marTop w:val="0"/>
          <w:marBottom w:val="0"/>
          <w:divBdr>
            <w:top w:val="none" w:sz="0" w:space="0" w:color="auto"/>
            <w:left w:val="none" w:sz="0" w:space="0" w:color="auto"/>
            <w:bottom w:val="none" w:sz="0" w:space="0" w:color="auto"/>
            <w:right w:val="none" w:sz="0" w:space="0" w:color="auto"/>
          </w:divBdr>
        </w:div>
        <w:div w:id="77599889">
          <w:marLeft w:val="0"/>
          <w:marRight w:val="0"/>
          <w:marTop w:val="0"/>
          <w:marBottom w:val="0"/>
          <w:divBdr>
            <w:top w:val="none" w:sz="0" w:space="0" w:color="auto"/>
            <w:left w:val="none" w:sz="0" w:space="0" w:color="auto"/>
            <w:bottom w:val="none" w:sz="0" w:space="0" w:color="auto"/>
            <w:right w:val="none" w:sz="0" w:space="0" w:color="auto"/>
          </w:divBdr>
        </w:div>
        <w:div w:id="501507048">
          <w:marLeft w:val="0"/>
          <w:marRight w:val="0"/>
          <w:marTop w:val="0"/>
          <w:marBottom w:val="0"/>
          <w:divBdr>
            <w:top w:val="none" w:sz="0" w:space="0" w:color="auto"/>
            <w:left w:val="none" w:sz="0" w:space="0" w:color="auto"/>
            <w:bottom w:val="none" w:sz="0" w:space="0" w:color="auto"/>
            <w:right w:val="none" w:sz="0" w:space="0" w:color="auto"/>
          </w:divBdr>
        </w:div>
      </w:divsChild>
    </w:div>
    <w:div w:id="1642036765">
      <w:bodyDiv w:val="1"/>
      <w:marLeft w:val="0"/>
      <w:marRight w:val="0"/>
      <w:marTop w:val="0"/>
      <w:marBottom w:val="0"/>
      <w:divBdr>
        <w:top w:val="none" w:sz="0" w:space="0" w:color="auto"/>
        <w:left w:val="none" w:sz="0" w:space="0" w:color="auto"/>
        <w:bottom w:val="none" w:sz="0" w:space="0" w:color="auto"/>
        <w:right w:val="none" w:sz="0" w:space="0" w:color="auto"/>
      </w:divBdr>
    </w:div>
    <w:div w:id="1996756089">
      <w:bodyDiv w:val="1"/>
      <w:marLeft w:val="0"/>
      <w:marRight w:val="0"/>
      <w:marTop w:val="0"/>
      <w:marBottom w:val="0"/>
      <w:divBdr>
        <w:top w:val="none" w:sz="0" w:space="0" w:color="auto"/>
        <w:left w:val="none" w:sz="0" w:space="0" w:color="auto"/>
        <w:bottom w:val="none" w:sz="0" w:space="0" w:color="auto"/>
        <w:right w:val="none" w:sz="0" w:space="0" w:color="auto"/>
      </w:divBdr>
    </w:div>
    <w:div w:id="2010669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1184</Words>
  <Characters>6517</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JRUDHOMME</dc:creator>
  <cp:keywords/>
  <dc:description/>
  <cp:lastModifiedBy>GESBERT Mathilde</cp:lastModifiedBy>
  <cp:revision>46</cp:revision>
  <cp:lastPrinted>2020-02-20T15:07:00Z</cp:lastPrinted>
  <dcterms:created xsi:type="dcterms:W3CDTF">2018-03-05T13:02:00Z</dcterms:created>
  <dcterms:modified xsi:type="dcterms:W3CDTF">2020-02-20T15:13:00Z</dcterms:modified>
</cp:coreProperties>
</file>